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4B" w:rsidRPr="00677B5D" w:rsidRDefault="001E024B" w:rsidP="00CA5B4A">
      <w:pPr>
        <w:pStyle w:val="NB-Title1Orange"/>
      </w:pPr>
      <w:r w:rsidRPr="00677B5D">
        <w:t>Schroders</w:t>
      </w:r>
    </w:p>
    <w:p w:rsidR="001E024B" w:rsidRPr="00677B5D" w:rsidRDefault="001E024B" w:rsidP="001E024B">
      <w:pPr>
        <w:pStyle w:val="Ttulo"/>
      </w:pPr>
      <w:r w:rsidRPr="00677B5D">
        <w:t>Economic and Strategy Viewpoint</w:t>
      </w:r>
    </w:p>
    <w:tbl>
      <w:tblPr>
        <w:tblW w:w="10314" w:type="dxa"/>
        <w:tblLayout w:type="fixed"/>
        <w:tblLook w:val="01E0"/>
      </w:tblPr>
      <w:tblGrid>
        <w:gridCol w:w="2166"/>
        <w:gridCol w:w="8148"/>
      </w:tblGrid>
      <w:tr w:rsidR="001E024B" w:rsidRPr="00677B5D" w:rsidTr="00CF7C45">
        <w:trPr>
          <w:trHeight w:val="11596"/>
        </w:trPr>
        <w:tc>
          <w:tcPr>
            <w:tcW w:w="2166" w:type="dxa"/>
          </w:tcPr>
          <w:p w:rsidR="001E024B" w:rsidRPr="00677B5D" w:rsidRDefault="001E024B" w:rsidP="00625D6B">
            <w:pPr>
              <w:pStyle w:val="StyleStyleQParagraphHeadingBlackDarkBlueArial115pt"/>
            </w:pPr>
            <w:r w:rsidRPr="00677B5D">
              <w:t>Keith Wade</w:t>
            </w:r>
          </w:p>
          <w:p w:rsidR="001E024B" w:rsidRPr="00677B5D" w:rsidRDefault="001E024B" w:rsidP="00625D6B">
            <w:pPr>
              <w:pStyle w:val="StyleStyleQParagraphHeadingBlackDarkBlueArial115pt1"/>
            </w:pPr>
            <w:r w:rsidRPr="00677B5D">
              <w:t>Chief Economist and Strategist</w:t>
            </w:r>
          </w:p>
          <w:p w:rsidR="001E024B" w:rsidRPr="00C53271" w:rsidRDefault="001E024B" w:rsidP="00625D6B">
            <w:pPr>
              <w:rPr>
                <w:rFonts w:cs="Arial"/>
                <w:color w:val="001950"/>
                <w:sz w:val="23"/>
                <w:szCs w:val="23"/>
                <w:lang w:val="es-ES"/>
              </w:rPr>
            </w:pPr>
          </w:p>
          <w:p w:rsidR="001E024B" w:rsidRPr="00C53271" w:rsidRDefault="001E024B" w:rsidP="00625D6B">
            <w:pPr>
              <w:pStyle w:val="StyleStyleQParagraphHeadingBlackDarkBlueArial115pt"/>
              <w:rPr>
                <w:lang w:val="es-ES"/>
              </w:rPr>
            </w:pPr>
            <w:r w:rsidRPr="00C53271">
              <w:rPr>
                <w:lang w:val="es-ES"/>
              </w:rPr>
              <w:t>Azad Zangana</w:t>
            </w:r>
          </w:p>
          <w:p w:rsidR="001E024B" w:rsidRPr="00C53271" w:rsidRDefault="001E024B" w:rsidP="00625D6B">
            <w:pPr>
              <w:pStyle w:val="StyleStyleQParagraphHeadingBlackDarkBlueArial115pt1"/>
              <w:rPr>
                <w:lang w:val="es-ES"/>
              </w:rPr>
            </w:pPr>
            <w:r w:rsidRPr="00760B20">
              <w:rPr>
                <w:lang w:val="es-ES"/>
              </w:rPr>
              <w:t>European</w:t>
            </w:r>
            <w:r w:rsidRPr="00C53271">
              <w:rPr>
                <w:lang w:val="es-ES"/>
              </w:rPr>
              <w:t xml:space="preserve"> </w:t>
            </w:r>
            <w:r w:rsidRPr="00E020EF">
              <w:rPr>
                <w:lang w:val="es-ES"/>
              </w:rPr>
              <w:t>Economist</w:t>
            </w:r>
          </w:p>
          <w:p w:rsidR="00D827BA" w:rsidRPr="00C53271" w:rsidRDefault="00D827BA" w:rsidP="00625D6B">
            <w:pPr>
              <w:pStyle w:val="StyleStyleQParagraphHeadingBlackDarkBlueArial115pt1"/>
              <w:rPr>
                <w:lang w:val="es-ES"/>
              </w:rPr>
            </w:pPr>
          </w:p>
          <w:p w:rsidR="00D827BA" w:rsidRPr="00C53271" w:rsidRDefault="00D827BA" w:rsidP="00D827BA">
            <w:pPr>
              <w:pStyle w:val="StyleStyleQParagraphHeadingBlackDarkBlueArial115pt"/>
              <w:rPr>
                <w:lang w:val="es-ES"/>
              </w:rPr>
            </w:pPr>
            <w:r w:rsidRPr="00C53271">
              <w:rPr>
                <w:lang w:val="es-ES"/>
              </w:rPr>
              <w:t>James Bilson</w:t>
            </w:r>
          </w:p>
          <w:p w:rsidR="00D827BA" w:rsidRPr="00677B5D" w:rsidRDefault="00D827BA" w:rsidP="00D827BA">
            <w:pPr>
              <w:pStyle w:val="StyleStyleQParagraphHeadingBlackDarkBlueArial115pt1"/>
            </w:pPr>
            <w:r w:rsidRPr="00677B5D">
              <w:t>Economist</w:t>
            </w:r>
          </w:p>
          <w:p w:rsidR="00D827BA" w:rsidRPr="00677B5D" w:rsidRDefault="00D827BA" w:rsidP="00625D6B">
            <w:pPr>
              <w:pStyle w:val="StyleStyleQParagraphHeadingBlackDarkBlueArial115pt1"/>
            </w:pPr>
          </w:p>
          <w:p w:rsidR="001E024B" w:rsidRPr="00677B5D" w:rsidRDefault="001E024B" w:rsidP="00625D6B">
            <w:pPr>
              <w:rPr>
                <w:rFonts w:cs="Arial"/>
                <w:color w:val="000066"/>
                <w:sz w:val="23"/>
                <w:szCs w:val="23"/>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Default="001E024B" w:rsidP="00625D6B">
            <w:pPr>
              <w:pStyle w:val="StyleStyleQParagraphHeadingBlackDarkBlueArial115pt1"/>
              <w:rPr>
                <w:color w:val="999999"/>
                <w:highlight w:val="yellow"/>
                <w:lang w:eastAsia="ja-JP"/>
              </w:rPr>
            </w:pPr>
          </w:p>
          <w:p w:rsidR="009365A5" w:rsidRDefault="009365A5" w:rsidP="00625D6B">
            <w:pPr>
              <w:pStyle w:val="StyleStyleQParagraphHeadingBlackDarkBlueArial115pt1"/>
              <w:rPr>
                <w:color w:val="999999"/>
                <w:highlight w:val="yellow"/>
                <w:lang w:eastAsia="ja-JP"/>
              </w:rPr>
            </w:pPr>
          </w:p>
          <w:p w:rsidR="009365A5" w:rsidRDefault="009365A5" w:rsidP="00625D6B">
            <w:pPr>
              <w:pStyle w:val="StyleStyleQParagraphHeadingBlackDarkBlueArial115pt1"/>
              <w:rPr>
                <w:color w:val="999999"/>
                <w:highlight w:val="yellow"/>
                <w:lang w:eastAsia="ja-JP"/>
              </w:rPr>
            </w:pPr>
          </w:p>
          <w:p w:rsidR="009365A5" w:rsidRDefault="009365A5" w:rsidP="00625D6B">
            <w:pPr>
              <w:pStyle w:val="StyleStyleQParagraphHeadingBlackDarkBlueArial115pt1"/>
              <w:rPr>
                <w:color w:val="999999"/>
                <w:highlight w:val="yellow"/>
                <w:lang w:eastAsia="ja-JP"/>
              </w:rPr>
            </w:pPr>
          </w:p>
          <w:p w:rsidR="009365A5" w:rsidRDefault="009365A5" w:rsidP="00625D6B">
            <w:pPr>
              <w:pStyle w:val="StyleStyleQParagraphHeadingBlackDarkBlueArial115pt1"/>
              <w:rPr>
                <w:color w:val="999999"/>
                <w:highlight w:val="yellow"/>
                <w:lang w:eastAsia="ja-JP"/>
              </w:rPr>
            </w:pPr>
          </w:p>
          <w:p w:rsidR="009365A5" w:rsidRDefault="009365A5" w:rsidP="00625D6B">
            <w:pPr>
              <w:pStyle w:val="StyleStyleQParagraphHeadingBlackDarkBlueArial115pt1"/>
              <w:rPr>
                <w:color w:val="999999"/>
                <w:highlight w:val="yellow"/>
                <w:lang w:eastAsia="ja-JP"/>
              </w:rPr>
            </w:pPr>
          </w:p>
          <w:p w:rsidR="009365A5" w:rsidRDefault="009365A5" w:rsidP="00625D6B">
            <w:pPr>
              <w:pStyle w:val="StyleStyleQParagraphHeadingBlackDarkBlueArial115pt1"/>
              <w:rPr>
                <w:color w:val="999999"/>
                <w:highlight w:val="yellow"/>
                <w:lang w:eastAsia="ja-JP"/>
              </w:rPr>
            </w:pPr>
          </w:p>
          <w:p w:rsidR="009365A5" w:rsidRDefault="009365A5" w:rsidP="00625D6B">
            <w:pPr>
              <w:pStyle w:val="StyleStyleQParagraphHeadingBlackDarkBlueArial115pt1"/>
              <w:rPr>
                <w:color w:val="999999"/>
                <w:highlight w:val="yellow"/>
                <w:lang w:eastAsia="ja-JP"/>
              </w:rPr>
            </w:pPr>
          </w:p>
          <w:p w:rsidR="009365A5" w:rsidRDefault="009365A5" w:rsidP="00625D6B">
            <w:pPr>
              <w:pStyle w:val="StyleStyleQParagraphHeadingBlackDarkBlueArial115pt1"/>
              <w:rPr>
                <w:color w:val="999999"/>
                <w:highlight w:val="yellow"/>
                <w:lang w:eastAsia="ja-JP"/>
              </w:rPr>
            </w:pPr>
          </w:p>
          <w:p w:rsidR="009365A5" w:rsidRDefault="009365A5" w:rsidP="00625D6B">
            <w:pPr>
              <w:pStyle w:val="StyleStyleQParagraphHeadingBlackDarkBlueArial115pt1"/>
              <w:rPr>
                <w:color w:val="999999"/>
                <w:highlight w:val="yellow"/>
                <w:lang w:eastAsia="ja-JP"/>
              </w:rPr>
            </w:pPr>
          </w:p>
          <w:p w:rsidR="009365A5" w:rsidRDefault="009365A5" w:rsidP="00625D6B">
            <w:pPr>
              <w:pStyle w:val="StyleStyleQParagraphHeadingBlackDarkBlueArial115pt1"/>
              <w:rPr>
                <w:color w:val="999999"/>
                <w:highlight w:val="yellow"/>
                <w:lang w:eastAsia="ja-JP"/>
              </w:rPr>
            </w:pPr>
          </w:p>
          <w:p w:rsidR="001E024B" w:rsidRPr="00677B5D" w:rsidRDefault="001E024B" w:rsidP="00625D6B">
            <w:pPr>
              <w:pStyle w:val="StyleStyleQParagraphHeadingBlackDarkBlueArial115pt1"/>
              <w:rPr>
                <w:color w:val="999999"/>
                <w:highlight w:val="yellow"/>
                <w:lang w:eastAsia="ja-JP"/>
              </w:rPr>
            </w:pPr>
          </w:p>
          <w:p w:rsidR="001E024B" w:rsidRPr="00677B5D" w:rsidRDefault="001E024B" w:rsidP="00850ABD">
            <w:pPr>
              <w:pStyle w:val="StyleStyleQParagraphHeadingBlackDarkBlueArial115pt1"/>
              <w:rPr>
                <w:color w:val="999999"/>
                <w:highlight w:val="yellow"/>
                <w:lang w:eastAsia="ja-JP"/>
              </w:rPr>
            </w:pPr>
          </w:p>
        </w:tc>
        <w:tc>
          <w:tcPr>
            <w:tcW w:w="8148" w:type="dxa"/>
          </w:tcPr>
          <w:p w:rsidR="00BD3380" w:rsidRPr="006F27E7" w:rsidRDefault="00C66AE5" w:rsidP="00BD3380">
            <w:pPr>
              <w:spacing w:after="20"/>
              <w:jc w:val="both"/>
              <w:rPr>
                <w:rFonts w:cs="Arial"/>
                <w:b/>
                <w:bCs/>
                <w:color w:val="001950"/>
                <w:sz w:val="22"/>
                <w:szCs w:val="21"/>
              </w:rPr>
            </w:pPr>
            <w:r>
              <w:rPr>
                <w:rFonts w:cs="Arial"/>
                <w:b/>
                <w:bCs/>
                <w:color w:val="001950"/>
                <w:sz w:val="22"/>
                <w:szCs w:val="21"/>
              </w:rPr>
              <w:t>A</w:t>
            </w:r>
            <w:r w:rsidR="00492209" w:rsidRPr="006F27E7">
              <w:rPr>
                <w:rFonts w:cs="Arial"/>
                <w:b/>
                <w:bCs/>
                <w:color w:val="001950"/>
                <w:sz w:val="22"/>
                <w:szCs w:val="21"/>
              </w:rPr>
              <w:t xml:space="preserve">nother year of </w:t>
            </w:r>
            <w:r>
              <w:rPr>
                <w:rFonts w:cs="Arial"/>
                <w:b/>
                <w:bCs/>
                <w:color w:val="001950"/>
                <w:sz w:val="22"/>
                <w:szCs w:val="21"/>
              </w:rPr>
              <w:t>“</w:t>
            </w:r>
            <w:r w:rsidR="00492209" w:rsidRPr="006F27E7">
              <w:rPr>
                <w:rFonts w:cs="Arial"/>
                <w:b/>
                <w:bCs/>
                <w:color w:val="001950"/>
                <w:sz w:val="22"/>
                <w:szCs w:val="21"/>
              </w:rPr>
              <w:t>sell in May</w:t>
            </w:r>
            <w:r>
              <w:rPr>
                <w:rFonts w:cs="Arial"/>
                <w:b/>
                <w:bCs/>
                <w:color w:val="001950"/>
                <w:sz w:val="22"/>
                <w:szCs w:val="21"/>
              </w:rPr>
              <w:t>”</w:t>
            </w:r>
            <w:r w:rsidR="00FE7E5D" w:rsidRPr="006F27E7">
              <w:rPr>
                <w:rFonts w:cs="Arial"/>
                <w:b/>
                <w:bCs/>
                <w:color w:val="001950"/>
                <w:sz w:val="22"/>
                <w:szCs w:val="21"/>
              </w:rPr>
              <w:t xml:space="preserve">? </w:t>
            </w:r>
          </w:p>
          <w:p w:rsidR="00492209" w:rsidRPr="006F27E7" w:rsidRDefault="00492209" w:rsidP="008D36DB">
            <w:pPr>
              <w:numPr>
                <w:ilvl w:val="0"/>
                <w:numId w:val="7"/>
              </w:numPr>
              <w:spacing w:after="40"/>
              <w:ind w:left="357" w:hanging="357"/>
              <w:jc w:val="both"/>
              <w:rPr>
                <w:rFonts w:cs="Arial"/>
                <w:b/>
                <w:color w:val="auto"/>
                <w:sz w:val="21"/>
                <w:szCs w:val="21"/>
              </w:rPr>
            </w:pPr>
            <w:r w:rsidRPr="006F27E7">
              <w:rPr>
                <w:rFonts w:cs="Arial"/>
                <w:b/>
                <w:color w:val="auto"/>
                <w:sz w:val="21"/>
                <w:szCs w:val="21"/>
              </w:rPr>
              <w:t xml:space="preserve">Evidence is building of a slowdown in global growth, repeating the pattern seen in recent years where a strong start to the year fades in the spring. We would see the current downshift </w:t>
            </w:r>
            <w:r w:rsidR="00C66AE5">
              <w:rPr>
                <w:rFonts w:cs="Arial"/>
                <w:b/>
                <w:color w:val="auto"/>
                <w:sz w:val="21"/>
                <w:szCs w:val="21"/>
              </w:rPr>
              <w:t xml:space="preserve">as </w:t>
            </w:r>
            <w:r w:rsidRPr="006F27E7">
              <w:rPr>
                <w:rFonts w:cs="Arial"/>
                <w:b/>
                <w:color w:val="auto"/>
                <w:sz w:val="21"/>
                <w:szCs w:val="21"/>
              </w:rPr>
              <w:t xml:space="preserve">a consequence of the inventory cycle </w:t>
            </w:r>
            <w:r w:rsidR="00DB33BA" w:rsidRPr="006F27E7">
              <w:rPr>
                <w:rFonts w:cs="Arial"/>
                <w:b/>
                <w:color w:val="auto"/>
                <w:sz w:val="21"/>
                <w:szCs w:val="21"/>
              </w:rPr>
              <w:t>and tighter</w:t>
            </w:r>
            <w:r w:rsidRPr="006F27E7">
              <w:rPr>
                <w:rFonts w:cs="Arial"/>
                <w:b/>
                <w:color w:val="auto"/>
                <w:sz w:val="21"/>
                <w:szCs w:val="21"/>
              </w:rPr>
              <w:t xml:space="preserve"> fiscal policy in the US against an on-going backdrop of fiscal austerity and bank de-leveraging in Europe.   </w:t>
            </w:r>
          </w:p>
          <w:p w:rsidR="00AC18F6" w:rsidRPr="006F27E7" w:rsidRDefault="00492209" w:rsidP="008D36DB">
            <w:pPr>
              <w:numPr>
                <w:ilvl w:val="0"/>
                <w:numId w:val="7"/>
              </w:numPr>
              <w:spacing w:after="120"/>
              <w:ind w:left="357" w:hanging="357"/>
              <w:jc w:val="both"/>
              <w:rPr>
                <w:rFonts w:cs="Arial"/>
                <w:b/>
                <w:color w:val="auto"/>
                <w:sz w:val="21"/>
                <w:szCs w:val="21"/>
              </w:rPr>
            </w:pPr>
            <w:r w:rsidRPr="006F27E7">
              <w:rPr>
                <w:rFonts w:cs="Arial"/>
                <w:b/>
                <w:color w:val="auto"/>
                <w:sz w:val="21"/>
                <w:szCs w:val="21"/>
              </w:rPr>
              <w:t>Equity markets have reacted negatively to the slowdown in previous years. They may do so again this year, however much of the rally has been driven by defensive rather than cyclical growth sensitive stocks. Central bank money printing has played a key role in driving investors into bond-like equities</w:t>
            </w:r>
            <w:r w:rsidR="00C66AE5">
              <w:rPr>
                <w:rFonts w:cs="Arial"/>
                <w:b/>
                <w:color w:val="auto"/>
                <w:sz w:val="21"/>
                <w:szCs w:val="21"/>
              </w:rPr>
              <w:t xml:space="preserve"> with recent action by the Bank of Japan accelerating the trend</w:t>
            </w:r>
            <w:r w:rsidRPr="006F27E7">
              <w:rPr>
                <w:rFonts w:cs="Arial"/>
                <w:b/>
                <w:color w:val="auto"/>
                <w:sz w:val="21"/>
                <w:szCs w:val="21"/>
              </w:rPr>
              <w:t xml:space="preserve">. If weaker growth brings expectations of more central bank action, 2013 could see the market avoid another </w:t>
            </w:r>
            <w:r w:rsidR="00C66AE5">
              <w:rPr>
                <w:rFonts w:cs="Arial"/>
                <w:b/>
                <w:color w:val="auto"/>
                <w:sz w:val="21"/>
                <w:szCs w:val="21"/>
              </w:rPr>
              <w:t>“</w:t>
            </w:r>
            <w:r w:rsidRPr="006F27E7">
              <w:rPr>
                <w:rFonts w:cs="Arial"/>
                <w:b/>
                <w:color w:val="auto"/>
                <w:sz w:val="21"/>
                <w:szCs w:val="21"/>
              </w:rPr>
              <w:t>sell in May</w:t>
            </w:r>
            <w:r w:rsidR="00C66AE5">
              <w:rPr>
                <w:rFonts w:cs="Arial"/>
                <w:b/>
                <w:color w:val="auto"/>
                <w:sz w:val="21"/>
                <w:szCs w:val="21"/>
              </w:rPr>
              <w:t>”</w:t>
            </w:r>
            <w:r w:rsidRPr="006F27E7">
              <w:rPr>
                <w:rFonts w:cs="Arial"/>
                <w:b/>
                <w:color w:val="auto"/>
                <w:sz w:val="21"/>
                <w:szCs w:val="21"/>
              </w:rPr>
              <w:t xml:space="preserve">.  </w:t>
            </w:r>
          </w:p>
          <w:p w:rsidR="00BD3380" w:rsidRPr="006F27E7" w:rsidRDefault="008052A2" w:rsidP="00AC18F6">
            <w:pPr>
              <w:spacing w:before="80" w:after="20"/>
              <w:jc w:val="both"/>
              <w:rPr>
                <w:rFonts w:cs="Arial"/>
                <w:b/>
                <w:bCs/>
                <w:color w:val="001950"/>
                <w:sz w:val="22"/>
                <w:szCs w:val="21"/>
              </w:rPr>
            </w:pPr>
            <w:r w:rsidRPr="006F27E7">
              <w:rPr>
                <w:rFonts w:cs="Arial"/>
                <w:b/>
                <w:bCs/>
                <w:color w:val="001950"/>
                <w:sz w:val="22"/>
                <w:szCs w:val="21"/>
              </w:rPr>
              <w:t xml:space="preserve">Europe needs the ECB to act </w:t>
            </w:r>
          </w:p>
          <w:p w:rsidR="008052A2" w:rsidRPr="006F27E7" w:rsidRDefault="008052A2" w:rsidP="008D36DB">
            <w:pPr>
              <w:numPr>
                <w:ilvl w:val="0"/>
                <w:numId w:val="7"/>
              </w:numPr>
              <w:spacing w:after="40"/>
              <w:ind w:left="357" w:hanging="357"/>
              <w:jc w:val="both"/>
              <w:rPr>
                <w:rFonts w:cs="Arial"/>
                <w:b/>
                <w:color w:val="auto"/>
                <w:sz w:val="21"/>
                <w:szCs w:val="21"/>
              </w:rPr>
            </w:pPr>
            <w:r w:rsidRPr="006F27E7">
              <w:rPr>
                <w:rFonts w:cs="Arial"/>
                <w:b/>
                <w:color w:val="auto"/>
                <w:sz w:val="21"/>
                <w:szCs w:val="21"/>
              </w:rPr>
              <w:t xml:space="preserve">First quarter data show industrial production stabilising, however, leading indicators suggest that the pace of economic contraction may be about to </w:t>
            </w:r>
            <w:r w:rsidR="00C66AE5">
              <w:rPr>
                <w:rFonts w:cs="Arial"/>
                <w:b/>
                <w:color w:val="auto"/>
                <w:sz w:val="21"/>
                <w:szCs w:val="21"/>
              </w:rPr>
              <w:t>worsen</w:t>
            </w:r>
            <w:r w:rsidRPr="006F27E7">
              <w:rPr>
                <w:rFonts w:cs="Arial"/>
                <w:b/>
                <w:color w:val="auto"/>
                <w:sz w:val="21"/>
                <w:szCs w:val="21"/>
              </w:rPr>
              <w:t>. Meanwhile, inflation is falling quickly, and when tax increases are excluded, some countries appear dangerously close to deflation.</w:t>
            </w:r>
          </w:p>
          <w:p w:rsidR="00AC18F6" w:rsidRPr="006F27E7" w:rsidRDefault="008052A2" w:rsidP="008D36DB">
            <w:pPr>
              <w:numPr>
                <w:ilvl w:val="0"/>
                <w:numId w:val="7"/>
              </w:numPr>
              <w:spacing w:after="120"/>
              <w:ind w:left="357" w:hanging="357"/>
              <w:contextualSpacing/>
              <w:jc w:val="both"/>
              <w:rPr>
                <w:rFonts w:cs="Arial"/>
                <w:b/>
                <w:color w:val="auto"/>
                <w:sz w:val="21"/>
                <w:szCs w:val="21"/>
              </w:rPr>
            </w:pPr>
            <w:r w:rsidRPr="006F27E7">
              <w:rPr>
                <w:rFonts w:cs="Arial"/>
                <w:b/>
                <w:color w:val="auto"/>
                <w:sz w:val="21"/>
                <w:szCs w:val="21"/>
              </w:rPr>
              <w:t xml:space="preserve">We expect the ECB to react by cutting interest rates in May, although we argue that more is needed to lift the economy. Unfortunately, the use of quantitative easing still seems to be some way away. </w:t>
            </w:r>
          </w:p>
          <w:p w:rsidR="00BD3380" w:rsidRPr="00FE7E5D" w:rsidRDefault="0080297B" w:rsidP="00AC18F6">
            <w:pPr>
              <w:pStyle w:val="Textosimples"/>
              <w:contextualSpacing/>
              <w:jc w:val="both"/>
              <w:rPr>
                <w:rFonts w:cs="Arial"/>
                <w:b/>
                <w:color w:val="001950"/>
                <w:sz w:val="22"/>
                <w:szCs w:val="22"/>
                <w:lang w:eastAsia="en-GB"/>
              </w:rPr>
            </w:pPr>
            <w:r>
              <w:rPr>
                <w:rFonts w:cs="Arial"/>
                <w:b/>
                <w:color w:val="001950"/>
                <w:sz w:val="22"/>
                <w:szCs w:val="22"/>
                <w:lang w:eastAsia="en-GB"/>
              </w:rPr>
              <w:t xml:space="preserve">Is </w:t>
            </w:r>
            <w:r w:rsidR="00C37529">
              <w:rPr>
                <w:rFonts w:cs="Arial"/>
                <w:b/>
                <w:color w:val="001950"/>
                <w:sz w:val="22"/>
                <w:szCs w:val="22"/>
                <w:lang w:eastAsia="en-GB"/>
              </w:rPr>
              <w:t xml:space="preserve">the </w:t>
            </w:r>
            <w:r w:rsidR="00C66AE5">
              <w:rPr>
                <w:rFonts w:cs="Arial"/>
                <w:b/>
                <w:color w:val="001950"/>
                <w:sz w:val="22"/>
                <w:szCs w:val="22"/>
                <w:lang w:eastAsia="en-GB"/>
              </w:rPr>
              <w:t xml:space="preserve">Chinese </w:t>
            </w:r>
            <w:r w:rsidR="00C37529">
              <w:rPr>
                <w:rFonts w:cs="Arial"/>
                <w:b/>
                <w:color w:val="001950"/>
                <w:sz w:val="22"/>
                <w:szCs w:val="22"/>
                <w:lang w:eastAsia="en-GB"/>
              </w:rPr>
              <w:t xml:space="preserve">economy </w:t>
            </w:r>
            <w:r>
              <w:rPr>
                <w:rFonts w:cs="Arial"/>
                <w:b/>
                <w:color w:val="001950"/>
                <w:sz w:val="22"/>
                <w:szCs w:val="22"/>
                <w:lang w:eastAsia="en-GB"/>
              </w:rPr>
              <w:t>rebalancing</w:t>
            </w:r>
            <w:r w:rsidR="00C37529">
              <w:rPr>
                <w:rFonts w:cs="Arial"/>
                <w:b/>
                <w:color w:val="001950"/>
                <w:sz w:val="22"/>
                <w:szCs w:val="22"/>
                <w:lang w:eastAsia="en-GB"/>
              </w:rPr>
              <w:t>?</w:t>
            </w:r>
            <w:r w:rsidR="00FE7E5D">
              <w:rPr>
                <w:rFonts w:cs="Arial"/>
                <w:b/>
                <w:color w:val="001950"/>
                <w:sz w:val="22"/>
                <w:szCs w:val="22"/>
                <w:lang w:eastAsia="en-GB"/>
              </w:rPr>
              <w:t xml:space="preserve"> </w:t>
            </w:r>
          </w:p>
          <w:p w:rsidR="00A10BCD" w:rsidRPr="006F27E7" w:rsidRDefault="00A10BCD" w:rsidP="008D36DB">
            <w:pPr>
              <w:numPr>
                <w:ilvl w:val="0"/>
                <w:numId w:val="7"/>
              </w:numPr>
              <w:spacing w:after="40"/>
              <w:ind w:left="357" w:hanging="357"/>
              <w:jc w:val="both"/>
              <w:rPr>
                <w:rFonts w:cs="Arial"/>
                <w:b/>
                <w:color w:val="auto"/>
                <w:sz w:val="21"/>
                <w:szCs w:val="21"/>
              </w:rPr>
            </w:pPr>
            <w:r w:rsidRPr="006F27E7">
              <w:rPr>
                <w:rFonts w:cs="Arial"/>
                <w:b/>
                <w:color w:val="auto"/>
                <w:sz w:val="21"/>
                <w:szCs w:val="21"/>
              </w:rPr>
              <w:t xml:space="preserve">The recent fall in Chinese growth was caused by a reduced contribution from investment, consistent with the story of rebalancing towards consumption and away from investment. </w:t>
            </w:r>
            <w:r w:rsidR="00C66AE5">
              <w:rPr>
                <w:rFonts w:cs="Arial"/>
                <w:b/>
                <w:color w:val="auto"/>
                <w:sz w:val="21"/>
                <w:szCs w:val="21"/>
              </w:rPr>
              <w:t>R</w:t>
            </w:r>
            <w:r w:rsidRPr="006F27E7">
              <w:rPr>
                <w:rFonts w:cs="Arial"/>
                <w:b/>
                <w:color w:val="auto"/>
                <w:sz w:val="21"/>
                <w:szCs w:val="21"/>
              </w:rPr>
              <w:t xml:space="preserve">ebalancing is likely to be a long process, however, with China still facing substantial investment requirements. </w:t>
            </w:r>
          </w:p>
          <w:p w:rsidR="00F76AA7" w:rsidRPr="00F76AA7" w:rsidRDefault="00F76AA7" w:rsidP="00F76AA7">
            <w:pPr>
              <w:ind w:left="360"/>
              <w:jc w:val="both"/>
              <w:rPr>
                <w:rFonts w:cs="Arial"/>
                <w:b/>
                <w:color w:val="auto"/>
                <w:sz w:val="19"/>
                <w:szCs w:val="19"/>
              </w:rPr>
            </w:pPr>
          </w:p>
          <w:p w:rsidR="0085610B" w:rsidRDefault="0085610B" w:rsidP="0085610B">
            <w:pPr>
              <w:rPr>
                <w:rFonts w:cs="Arial"/>
                <w:b/>
                <w:bCs/>
                <w:color w:val="001950"/>
                <w:sz w:val="22"/>
                <w:szCs w:val="22"/>
              </w:rPr>
            </w:pPr>
            <w:r w:rsidRPr="0085610B">
              <w:rPr>
                <w:rFonts w:cs="Arial"/>
                <w:b/>
                <w:bCs/>
                <w:color w:val="001950"/>
                <w:sz w:val="22"/>
                <w:szCs w:val="22"/>
              </w:rPr>
              <w:t xml:space="preserve">Chart: </w:t>
            </w:r>
            <w:r w:rsidR="00FF0008">
              <w:rPr>
                <w:rFonts w:cs="Arial"/>
                <w:b/>
                <w:bCs/>
                <w:color w:val="001950"/>
                <w:sz w:val="22"/>
                <w:szCs w:val="22"/>
              </w:rPr>
              <w:t>G</w:t>
            </w:r>
            <w:r w:rsidRPr="0085610B">
              <w:rPr>
                <w:rFonts w:cs="Arial"/>
                <w:b/>
                <w:bCs/>
                <w:color w:val="001950"/>
                <w:sz w:val="22"/>
                <w:szCs w:val="22"/>
              </w:rPr>
              <w:t>lobal equity a</w:t>
            </w:r>
            <w:r>
              <w:rPr>
                <w:rFonts w:cs="Arial"/>
                <w:b/>
                <w:bCs/>
                <w:color w:val="001950"/>
                <w:sz w:val="22"/>
                <w:szCs w:val="22"/>
              </w:rPr>
              <w:t xml:space="preserve">nd bond </w:t>
            </w:r>
            <w:r w:rsidRPr="0085610B">
              <w:rPr>
                <w:rFonts w:cs="Arial"/>
                <w:b/>
                <w:bCs/>
                <w:color w:val="001950"/>
                <w:sz w:val="22"/>
                <w:szCs w:val="22"/>
              </w:rPr>
              <w:t>markets</w:t>
            </w:r>
          </w:p>
          <w:p w:rsidR="003E6B90" w:rsidRPr="00BB5C82" w:rsidRDefault="00295A04" w:rsidP="00C66AE5">
            <w:pPr>
              <w:spacing w:after="40"/>
            </w:pPr>
            <w:r>
              <w:rPr>
                <w:noProof/>
                <w:lang w:val="pt-PT" w:eastAsia="pt-PT"/>
              </w:rPr>
              <w:drawing>
                <wp:inline distT="0" distB="0" distL="0" distR="0">
                  <wp:extent cx="5034915" cy="2866390"/>
                  <wp:effectExtent l="19050" t="0" r="0" b="0"/>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34915" cy="2866390"/>
                          </a:xfrm>
                          <a:prstGeom prst="rect">
                            <a:avLst/>
                          </a:prstGeom>
                          <a:noFill/>
                          <a:ln w="9525">
                            <a:noFill/>
                            <a:miter lim="800000"/>
                            <a:headEnd/>
                            <a:tailEnd/>
                          </a:ln>
                        </pic:spPr>
                      </pic:pic>
                    </a:graphicData>
                  </a:graphic>
                </wp:inline>
              </w:drawing>
            </w:r>
          </w:p>
          <w:p w:rsidR="00CB54AA" w:rsidRPr="00A0730C" w:rsidRDefault="00A0730C" w:rsidP="0085610B">
            <w:pPr>
              <w:jc w:val="both"/>
              <w:rPr>
                <w:rFonts w:cs="Arial"/>
                <w:color w:val="808080"/>
                <w:sz w:val="18"/>
                <w:lang w:eastAsia="en-GB"/>
              </w:rPr>
            </w:pPr>
            <w:r>
              <w:rPr>
                <w:rFonts w:cs="Arial"/>
                <w:color w:val="808080"/>
                <w:sz w:val="18"/>
                <w:lang w:eastAsia="en-GB"/>
              </w:rPr>
              <w:t xml:space="preserve">Source: </w:t>
            </w:r>
            <w:r w:rsidR="0085610B">
              <w:rPr>
                <w:rFonts w:cs="Arial"/>
                <w:color w:val="808080"/>
                <w:sz w:val="18"/>
                <w:lang w:eastAsia="en-GB"/>
              </w:rPr>
              <w:t>Thomson Datastream, Schroders</w:t>
            </w:r>
            <w:r w:rsidR="00946895">
              <w:rPr>
                <w:rFonts w:cs="Arial"/>
                <w:color w:val="808080"/>
                <w:sz w:val="18"/>
                <w:lang w:eastAsia="en-GB"/>
              </w:rPr>
              <w:t>. 2</w:t>
            </w:r>
            <w:r w:rsidR="0085610B">
              <w:rPr>
                <w:rFonts w:cs="Arial"/>
                <w:color w:val="808080"/>
                <w:sz w:val="18"/>
                <w:lang w:eastAsia="en-GB"/>
              </w:rPr>
              <w:t>6</w:t>
            </w:r>
            <w:r w:rsidR="00946895">
              <w:rPr>
                <w:rFonts w:cs="Arial"/>
                <w:color w:val="808080"/>
                <w:sz w:val="18"/>
                <w:lang w:eastAsia="en-GB"/>
              </w:rPr>
              <w:t xml:space="preserve"> </w:t>
            </w:r>
            <w:r w:rsidR="0085610B">
              <w:rPr>
                <w:rFonts w:cs="Arial"/>
                <w:color w:val="808080"/>
                <w:sz w:val="18"/>
                <w:lang w:eastAsia="en-GB"/>
              </w:rPr>
              <w:t>April</w:t>
            </w:r>
            <w:r w:rsidR="00946895">
              <w:rPr>
                <w:rFonts w:cs="Arial"/>
                <w:color w:val="808080"/>
                <w:sz w:val="18"/>
                <w:lang w:eastAsia="en-GB"/>
              </w:rPr>
              <w:t xml:space="preserve"> 2013</w:t>
            </w:r>
          </w:p>
        </w:tc>
      </w:tr>
    </w:tbl>
    <w:p w:rsidR="00323E7E" w:rsidRPr="00677B5D" w:rsidRDefault="00323E7E" w:rsidP="00323E7E">
      <w:pPr>
        <w:rPr>
          <w:highlight w:val="lightGray"/>
        </w:rPr>
        <w:sectPr w:rsidR="00323E7E" w:rsidRPr="00677B5D" w:rsidSect="003A5068">
          <w:headerReference w:type="default" r:id="rId9"/>
          <w:footerReference w:type="even" r:id="rId10"/>
          <w:footerReference w:type="default" r:id="rId11"/>
          <w:headerReference w:type="first" r:id="rId12"/>
          <w:footerReference w:type="first" r:id="rId13"/>
          <w:pgSz w:w="11904" w:h="16838" w:code="9"/>
          <w:pgMar w:top="1361" w:right="1128" w:bottom="1361" w:left="992" w:header="680" w:footer="794" w:gutter="0"/>
          <w:pgNumType w:start="1"/>
          <w:cols w:space="708"/>
          <w:titlePg/>
          <w:docGrid w:linePitch="272"/>
        </w:sectPr>
      </w:pPr>
    </w:p>
    <w:p w:rsidR="001E024B" w:rsidRPr="00677B5D" w:rsidRDefault="001E024B" w:rsidP="001E024B">
      <w:pPr>
        <w:rPr>
          <w:rStyle w:val="StyleArial105ptBoldItalicDarkBlue"/>
          <w:rFonts w:cs="Arial"/>
          <w:spacing w:val="-20"/>
          <w:sz w:val="2"/>
          <w:szCs w:val="2"/>
          <w:highlight w:val="lightGray"/>
        </w:rPr>
      </w:pPr>
    </w:p>
    <w:tbl>
      <w:tblPr>
        <w:tblpPr w:leftFromText="180" w:rightFromText="180" w:vertAnchor="text" w:tblpY="1"/>
        <w:tblOverlap w:val="never"/>
        <w:tblW w:w="10173" w:type="dxa"/>
        <w:tblLayout w:type="fixed"/>
        <w:tblLook w:val="01E0"/>
      </w:tblPr>
      <w:tblGrid>
        <w:gridCol w:w="2114"/>
        <w:gridCol w:w="8059"/>
      </w:tblGrid>
      <w:tr w:rsidR="00323E7E" w:rsidRPr="00677B5D" w:rsidTr="00020FEE">
        <w:trPr>
          <w:trHeight w:val="860"/>
        </w:trPr>
        <w:tc>
          <w:tcPr>
            <w:tcW w:w="2114" w:type="dxa"/>
          </w:tcPr>
          <w:p w:rsidR="00504014" w:rsidRDefault="00504014" w:rsidP="003A4D18">
            <w:pPr>
              <w:rPr>
                <w:rFonts w:cs="Arial"/>
                <w:b/>
                <w:i/>
                <w:color w:val="001950"/>
                <w:sz w:val="21"/>
                <w:szCs w:val="24"/>
              </w:rPr>
            </w:pPr>
          </w:p>
          <w:p w:rsidR="00630B7A" w:rsidRPr="00B3292F" w:rsidRDefault="00630B7A" w:rsidP="003A4D18">
            <w:pPr>
              <w:rPr>
                <w:rFonts w:cs="Arial"/>
                <w:b/>
                <w:i/>
                <w:color w:val="001950"/>
                <w:sz w:val="14"/>
                <w:szCs w:val="24"/>
              </w:rPr>
            </w:pPr>
          </w:p>
          <w:p w:rsidR="00630B7A" w:rsidRDefault="00B3292F" w:rsidP="003A4D18">
            <w:pPr>
              <w:rPr>
                <w:rFonts w:cs="Arial"/>
                <w:b/>
                <w:i/>
                <w:color w:val="001950"/>
                <w:sz w:val="21"/>
                <w:szCs w:val="24"/>
              </w:rPr>
            </w:pPr>
            <w:r w:rsidRPr="00B3292F">
              <w:rPr>
                <w:rFonts w:cs="Arial"/>
                <w:b/>
                <w:i/>
                <w:color w:val="001950"/>
                <w:sz w:val="21"/>
                <w:szCs w:val="24"/>
              </w:rPr>
              <w:t>After a strong start to the year the world economy is losing momentum</w:t>
            </w: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9A6F22" w:rsidRPr="009A6F22" w:rsidRDefault="009A6F22" w:rsidP="003A4D18">
            <w:pPr>
              <w:rPr>
                <w:rFonts w:cs="Arial"/>
                <w:b/>
                <w:i/>
                <w:color w:val="001950"/>
                <w:sz w:val="14"/>
                <w:szCs w:val="24"/>
              </w:rPr>
            </w:pPr>
          </w:p>
          <w:p w:rsidR="00055E36" w:rsidRDefault="00055E36" w:rsidP="003A4D18">
            <w:pPr>
              <w:rPr>
                <w:rFonts w:cs="Arial"/>
                <w:b/>
                <w:i/>
                <w:color w:val="001950"/>
                <w:sz w:val="21"/>
                <w:szCs w:val="24"/>
              </w:rPr>
            </w:pPr>
          </w:p>
          <w:p w:rsidR="00055E36" w:rsidRDefault="00055E36" w:rsidP="003A4D18">
            <w:pPr>
              <w:rPr>
                <w:rFonts w:cs="Arial"/>
                <w:b/>
                <w:i/>
                <w:color w:val="001950"/>
                <w:sz w:val="21"/>
                <w:szCs w:val="24"/>
              </w:rPr>
            </w:pPr>
          </w:p>
          <w:p w:rsidR="00055E36" w:rsidRDefault="00055E36"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FF6C18" w:rsidRPr="00AF4AD0" w:rsidRDefault="00FF6C18" w:rsidP="003A4D18">
            <w:pPr>
              <w:rPr>
                <w:rFonts w:cs="Arial"/>
                <w:b/>
                <w:i/>
                <w:color w:val="001950"/>
                <w:sz w:val="21"/>
                <w:szCs w:val="24"/>
              </w:rPr>
            </w:pPr>
          </w:p>
          <w:p w:rsidR="00630B7A" w:rsidRPr="00AF4AD0" w:rsidRDefault="00630B7A" w:rsidP="003A4D18">
            <w:pPr>
              <w:rPr>
                <w:rFonts w:cs="Arial"/>
                <w:b/>
                <w:i/>
                <w:color w:val="001950"/>
                <w:sz w:val="21"/>
                <w:szCs w:val="24"/>
              </w:rPr>
            </w:pPr>
          </w:p>
          <w:p w:rsidR="009A6F22" w:rsidRDefault="009A6F22" w:rsidP="003A4D18">
            <w:pPr>
              <w:rPr>
                <w:rFonts w:cs="Arial"/>
                <w:b/>
                <w:i/>
                <w:color w:val="001950"/>
                <w:sz w:val="21"/>
                <w:szCs w:val="24"/>
              </w:rPr>
            </w:pPr>
          </w:p>
          <w:p w:rsidR="009A6F22" w:rsidRDefault="009A6F22" w:rsidP="003A4D18">
            <w:pPr>
              <w:rPr>
                <w:rFonts w:cs="Arial"/>
                <w:b/>
                <w:i/>
                <w:color w:val="001950"/>
                <w:sz w:val="21"/>
                <w:szCs w:val="24"/>
              </w:rPr>
            </w:pPr>
          </w:p>
          <w:p w:rsidR="009A6F22" w:rsidRDefault="009A6F22" w:rsidP="003A4D18">
            <w:pPr>
              <w:rPr>
                <w:rFonts w:cs="Arial"/>
                <w:b/>
                <w:i/>
                <w:color w:val="001950"/>
                <w:sz w:val="21"/>
                <w:szCs w:val="24"/>
              </w:rPr>
            </w:pPr>
          </w:p>
          <w:p w:rsidR="009A6F22" w:rsidRDefault="009A6F22"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FF6C18" w:rsidRDefault="00FF6C18" w:rsidP="003A4D18">
            <w:pPr>
              <w:rPr>
                <w:rFonts w:cs="Arial"/>
                <w:b/>
                <w:i/>
                <w:color w:val="001950"/>
                <w:sz w:val="21"/>
                <w:szCs w:val="24"/>
              </w:rPr>
            </w:pPr>
          </w:p>
          <w:p w:rsidR="00FF6C18" w:rsidRPr="00AF4AD0" w:rsidRDefault="00FF6C18" w:rsidP="003A4D18">
            <w:pPr>
              <w:rPr>
                <w:rFonts w:cs="Arial"/>
                <w:b/>
                <w:i/>
                <w:color w:val="001950"/>
                <w:sz w:val="21"/>
                <w:szCs w:val="24"/>
              </w:rPr>
            </w:pPr>
          </w:p>
          <w:p w:rsidR="00630B7A" w:rsidRPr="00AF4AD0" w:rsidRDefault="00630B7A" w:rsidP="003A4D18">
            <w:pPr>
              <w:rPr>
                <w:rFonts w:cs="Arial"/>
                <w:b/>
                <w:i/>
                <w:color w:val="001950"/>
                <w:sz w:val="21"/>
                <w:szCs w:val="24"/>
              </w:rPr>
            </w:pPr>
          </w:p>
          <w:p w:rsidR="003B31DE" w:rsidRDefault="003B31DE" w:rsidP="003A4D18">
            <w:pPr>
              <w:rPr>
                <w:rFonts w:cs="Arial"/>
                <w:b/>
                <w:i/>
                <w:color w:val="001950"/>
                <w:sz w:val="21"/>
                <w:szCs w:val="24"/>
              </w:rPr>
            </w:pPr>
          </w:p>
          <w:p w:rsidR="003B31DE" w:rsidRDefault="003B31DE" w:rsidP="003A4D18">
            <w:pPr>
              <w:rPr>
                <w:rFonts w:cs="Arial"/>
                <w:b/>
                <w:i/>
                <w:color w:val="001950"/>
                <w:sz w:val="21"/>
                <w:szCs w:val="24"/>
              </w:rPr>
            </w:pPr>
          </w:p>
          <w:p w:rsidR="003B31DE" w:rsidRDefault="003B31DE" w:rsidP="003A4D18">
            <w:pPr>
              <w:rPr>
                <w:rFonts w:cs="Arial"/>
                <w:b/>
                <w:i/>
                <w:color w:val="001950"/>
                <w:sz w:val="21"/>
                <w:szCs w:val="24"/>
              </w:rPr>
            </w:pPr>
          </w:p>
          <w:p w:rsidR="003B31DE" w:rsidRDefault="003B31DE" w:rsidP="003A4D18">
            <w:pPr>
              <w:rPr>
                <w:rFonts w:cs="Arial"/>
                <w:b/>
                <w:i/>
                <w:color w:val="001950"/>
                <w:sz w:val="21"/>
                <w:szCs w:val="24"/>
              </w:rPr>
            </w:pPr>
          </w:p>
          <w:p w:rsidR="003B31DE" w:rsidRDefault="003B31DE" w:rsidP="003A4D18">
            <w:pPr>
              <w:rPr>
                <w:rFonts w:cs="Arial"/>
                <w:b/>
                <w:i/>
                <w:color w:val="001950"/>
                <w:sz w:val="21"/>
                <w:szCs w:val="24"/>
              </w:rPr>
            </w:pPr>
          </w:p>
          <w:p w:rsidR="003B31DE" w:rsidRDefault="003B31DE" w:rsidP="003A4D18">
            <w:pPr>
              <w:rPr>
                <w:rFonts w:cs="Arial"/>
                <w:b/>
                <w:i/>
                <w:color w:val="001950"/>
                <w:sz w:val="21"/>
                <w:szCs w:val="24"/>
              </w:rPr>
            </w:pPr>
          </w:p>
          <w:p w:rsidR="003B31DE" w:rsidRDefault="003B31DE" w:rsidP="003A4D18">
            <w:pPr>
              <w:rPr>
                <w:rFonts w:cs="Arial"/>
                <w:b/>
                <w:i/>
                <w:color w:val="001950"/>
                <w:sz w:val="21"/>
                <w:szCs w:val="24"/>
              </w:rPr>
            </w:pPr>
          </w:p>
          <w:p w:rsidR="00630B7A" w:rsidRPr="00B3292F" w:rsidRDefault="00630B7A" w:rsidP="003A4D18">
            <w:pPr>
              <w:rPr>
                <w:rFonts w:cs="Arial"/>
                <w:b/>
                <w:i/>
                <w:color w:val="001950"/>
                <w:sz w:val="48"/>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Default="00B3292F" w:rsidP="003A4D18">
            <w:pPr>
              <w:rPr>
                <w:rFonts w:cs="Arial"/>
                <w:b/>
                <w:i/>
                <w:color w:val="001950"/>
                <w:sz w:val="21"/>
                <w:szCs w:val="24"/>
              </w:rPr>
            </w:pPr>
          </w:p>
          <w:p w:rsidR="00B3292F" w:rsidRPr="00CC67E6" w:rsidRDefault="00B3292F" w:rsidP="003A4D18">
            <w:pPr>
              <w:rPr>
                <w:rFonts w:cs="Arial"/>
                <w:b/>
                <w:i/>
                <w:color w:val="001950"/>
                <w:sz w:val="44"/>
                <w:szCs w:val="24"/>
              </w:rPr>
            </w:pPr>
          </w:p>
          <w:p w:rsidR="00B3292F" w:rsidRPr="007B5454" w:rsidRDefault="00B3292F" w:rsidP="003A4D18">
            <w:pPr>
              <w:rPr>
                <w:rFonts w:cs="Arial"/>
                <w:b/>
                <w:i/>
                <w:color w:val="001950"/>
                <w:sz w:val="6"/>
                <w:szCs w:val="24"/>
              </w:rPr>
            </w:pPr>
          </w:p>
          <w:p w:rsidR="00630B7A" w:rsidRDefault="00E31044" w:rsidP="003A4D18">
            <w:pPr>
              <w:rPr>
                <w:rFonts w:cs="Arial"/>
                <w:b/>
                <w:i/>
                <w:color w:val="001950"/>
                <w:sz w:val="21"/>
                <w:szCs w:val="24"/>
              </w:rPr>
            </w:pPr>
            <w:r>
              <w:rPr>
                <w:rFonts w:cs="Arial"/>
                <w:b/>
                <w:i/>
                <w:color w:val="001950"/>
                <w:sz w:val="21"/>
                <w:szCs w:val="24"/>
              </w:rPr>
              <w:t>The c</w:t>
            </w:r>
            <w:r w:rsidR="00B3292F" w:rsidRPr="00B3292F">
              <w:rPr>
                <w:rFonts w:cs="Arial"/>
                <w:b/>
                <w:i/>
                <w:color w:val="001950"/>
                <w:sz w:val="21"/>
                <w:szCs w:val="24"/>
              </w:rPr>
              <w:t>urrent slowdown has fundamental drivers</w:t>
            </w: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Pr="00E31044" w:rsidRDefault="007B5454" w:rsidP="003A4D18">
            <w:pPr>
              <w:rPr>
                <w:rFonts w:cs="Arial"/>
                <w:b/>
                <w:i/>
                <w:color w:val="001950"/>
                <w:sz w:val="2"/>
                <w:szCs w:val="24"/>
              </w:rPr>
            </w:pPr>
          </w:p>
          <w:p w:rsidR="007B5454" w:rsidRDefault="007B5454" w:rsidP="007B5454">
            <w:pPr>
              <w:rPr>
                <w:rFonts w:cs="Arial"/>
                <w:b/>
                <w:i/>
                <w:color w:val="001950"/>
                <w:sz w:val="21"/>
                <w:szCs w:val="24"/>
              </w:rPr>
            </w:pPr>
            <w:r w:rsidRPr="007B5454">
              <w:rPr>
                <w:rFonts w:cs="Arial"/>
                <w:b/>
                <w:i/>
                <w:color w:val="001950"/>
                <w:sz w:val="21"/>
                <w:szCs w:val="24"/>
              </w:rPr>
              <w:t xml:space="preserve">Higher taxes and the sequester to hit </w:t>
            </w:r>
            <w:r w:rsidR="00E31044">
              <w:rPr>
                <w:rFonts w:cs="Arial"/>
                <w:b/>
                <w:i/>
                <w:color w:val="001950"/>
                <w:sz w:val="21"/>
                <w:szCs w:val="24"/>
              </w:rPr>
              <w:t xml:space="preserve">US </w:t>
            </w:r>
            <w:r w:rsidRPr="007B5454">
              <w:rPr>
                <w:rFonts w:cs="Arial"/>
                <w:b/>
                <w:i/>
                <w:color w:val="001950"/>
                <w:sz w:val="21"/>
                <w:szCs w:val="24"/>
              </w:rPr>
              <w:t>activity</w:t>
            </w: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CC67E6" w:rsidRDefault="00CC67E6" w:rsidP="007B5454">
            <w:pPr>
              <w:rPr>
                <w:rFonts w:cs="Arial"/>
                <w:b/>
                <w:i/>
                <w:color w:val="001950"/>
                <w:sz w:val="21"/>
                <w:szCs w:val="24"/>
              </w:rPr>
            </w:pPr>
          </w:p>
          <w:p w:rsidR="00CC67E6" w:rsidRDefault="00CC67E6" w:rsidP="007B5454">
            <w:pPr>
              <w:rPr>
                <w:rFonts w:cs="Arial"/>
                <w:b/>
                <w:i/>
                <w:color w:val="001950"/>
                <w:sz w:val="21"/>
                <w:szCs w:val="24"/>
              </w:rPr>
            </w:pPr>
          </w:p>
          <w:p w:rsidR="00CC67E6" w:rsidRDefault="00CC67E6" w:rsidP="007B5454">
            <w:pPr>
              <w:rPr>
                <w:rFonts w:cs="Arial"/>
                <w:b/>
                <w:i/>
                <w:color w:val="001950"/>
                <w:sz w:val="21"/>
                <w:szCs w:val="24"/>
              </w:rPr>
            </w:pPr>
          </w:p>
          <w:p w:rsidR="00CC67E6" w:rsidRDefault="00CC67E6" w:rsidP="007B5454">
            <w:pPr>
              <w:rPr>
                <w:rFonts w:cs="Arial"/>
                <w:b/>
                <w:i/>
                <w:color w:val="001950"/>
                <w:sz w:val="21"/>
                <w:szCs w:val="24"/>
              </w:rPr>
            </w:pPr>
          </w:p>
          <w:p w:rsidR="00CC67E6" w:rsidRDefault="00CC67E6" w:rsidP="007B5454">
            <w:pPr>
              <w:rPr>
                <w:rFonts w:cs="Arial"/>
                <w:b/>
                <w:i/>
                <w:color w:val="001950"/>
                <w:sz w:val="21"/>
                <w:szCs w:val="24"/>
              </w:rPr>
            </w:pPr>
          </w:p>
          <w:p w:rsidR="00CC67E6" w:rsidRDefault="00CC67E6" w:rsidP="007B5454">
            <w:pPr>
              <w:rPr>
                <w:rFonts w:cs="Arial"/>
                <w:b/>
                <w:i/>
                <w:color w:val="001950"/>
                <w:sz w:val="21"/>
                <w:szCs w:val="24"/>
              </w:rPr>
            </w:pPr>
          </w:p>
          <w:p w:rsidR="00CC67E6" w:rsidRDefault="00CC67E6" w:rsidP="007B5454">
            <w:pPr>
              <w:rPr>
                <w:rFonts w:cs="Arial"/>
                <w:b/>
                <w:i/>
                <w:color w:val="001950"/>
                <w:sz w:val="21"/>
                <w:szCs w:val="24"/>
              </w:rPr>
            </w:pPr>
          </w:p>
          <w:p w:rsidR="00CC67E6" w:rsidRDefault="00CC67E6" w:rsidP="007B5454">
            <w:pPr>
              <w:rPr>
                <w:rFonts w:cs="Arial"/>
                <w:b/>
                <w:i/>
                <w:color w:val="001950"/>
                <w:sz w:val="21"/>
                <w:szCs w:val="24"/>
              </w:rPr>
            </w:pPr>
          </w:p>
          <w:p w:rsidR="00CC67E6" w:rsidRDefault="00CC67E6" w:rsidP="007B5454">
            <w:pPr>
              <w:rPr>
                <w:rFonts w:cs="Arial"/>
                <w:b/>
                <w:i/>
                <w:color w:val="001950"/>
                <w:sz w:val="21"/>
                <w:szCs w:val="24"/>
              </w:rPr>
            </w:pPr>
          </w:p>
          <w:p w:rsidR="00CC67E6" w:rsidRDefault="00CC67E6" w:rsidP="007B5454">
            <w:pPr>
              <w:rPr>
                <w:rFonts w:cs="Arial"/>
                <w:b/>
                <w:i/>
                <w:color w:val="001950"/>
                <w:sz w:val="21"/>
                <w:szCs w:val="24"/>
              </w:rPr>
            </w:pPr>
          </w:p>
          <w:p w:rsidR="00CC67E6" w:rsidRDefault="00CC67E6" w:rsidP="007B5454">
            <w:pPr>
              <w:rPr>
                <w:rFonts w:cs="Arial"/>
                <w:b/>
                <w:i/>
                <w:color w:val="001950"/>
                <w:sz w:val="21"/>
                <w:szCs w:val="24"/>
              </w:rPr>
            </w:pPr>
          </w:p>
          <w:p w:rsidR="00CC67E6" w:rsidRPr="00CC67E6" w:rsidRDefault="00CC67E6" w:rsidP="007B5454">
            <w:pPr>
              <w:rPr>
                <w:rFonts w:cs="Arial"/>
                <w:b/>
                <w:i/>
                <w:color w:val="001950"/>
                <w:sz w:val="32"/>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Default="007B5454" w:rsidP="007B5454">
            <w:pPr>
              <w:rPr>
                <w:rFonts w:cs="Arial"/>
                <w:b/>
                <w:i/>
                <w:color w:val="001950"/>
                <w:sz w:val="21"/>
                <w:szCs w:val="24"/>
              </w:rPr>
            </w:pPr>
          </w:p>
          <w:p w:rsidR="007B5454" w:rsidRPr="007B5454" w:rsidRDefault="007B5454" w:rsidP="007B5454">
            <w:pPr>
              <w:rPr>
                <w:rFonts w:cs="Arial"/>
                <w:b/>
                <w:i/>
                <w:color w:val="001950"/>
                <w:sz w:val="21"/>
                <w:szCs w:val="24"/>
              </w:rPr>
            </w:pPr>
            <w:r w:rsidRPr="007B5454">
              <w:rPr>
                <w:rFonts w:cs="Arial"/>
                <w:b/>
                <w:i/>
                <w:color w:val="001950"/>
                <w:sz w:val="21"/>
                <w:szCs w:val="24"/>
              </w:rPr>
              <w:t>Are investors ignoring signs of weaker growth or looking through to better times?</w:t>
            </w:r>
          </w:p>
          <w:p w:rsidR="007B5454" w:rsidRPr="00AF4AD0" w:rsidRDefault="007B5454"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9A6F22" w:rsidRDefault="009A6F22"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Default="00630B7A"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Default="007B5454" w:rsidP="003A4D18">
            <w:pPr>
              <w:rPr>
                <w:rFonts w:cs="Arial"/>
                <w:b/>
                <w:i/>
                <w:color w:val="001950"/>
                <w:sz w:val="21"/>
                <w:szCs w:val="24"/>
              </w:rPr>
            </w:pPr>
          </w:p>
          <w:p w:rsidR="007B5454" w:rsidRPr="00F86614" w:rsidRDefault="007B5454" w:rsidP="003A4D18">
            <w:pPr>
              <w:rPr>
                <w:rFonts w:cs="Arial"/>
                <w:b/>
                <w:i/>
                <w:color w:val="001950"/>
                <w:sz w:val="28"/>
                <w:szCs w:val="24"/>
              </w:rPr>
            </w:pPr>
          </w:p>
          <w:p w:rsidR="00630B7A" w:rsidRPr="00AF4AD0" w:rsidRDefault="007B5454" w:rsidP="003A4D18">
            <w:pPr>
              <w:rPr>
                <w:rFonts w:cs="Arial"/>
                <w:b/>
                <w:i/>
                <w:color w:val="001950"/>
                <w:sz w:val="21"/>
                <w:szCs w:val="24"/>
              </w:rPr>
            </w:pPr>
            <w:r w:rsidRPr="007B5454">
              <w:rPr>
                <w:rFonts w:cs="Arial"/>
                <w:b/>
                <w:i/>
                <w:color w:val="001950"/>
                <w:sz w:val="21"/>
                <w:szCs w:val="24"/>
              </w:rPr>
              <w:t>Equity markets reflecting pattern of global activity</w:t>
            </w: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F86614" w:rsidRDefault="00630B7A" w:rsidP="003A4D18">
            <w:pPr>
              <w:rPr>
                <w:rFonts w:cs="Arial"/>
                <w:b/>
                <w:i/>
                <w:color w:val="001950"/>
                <w:sz w:val="4"/>
                <w:szCs w:val="24"/>
              </w:rPr>
            </w:pPr>
          </w:p>
          <w:p w:rsidR="007B5454" w:rsidRPr="007B5454" w:rsidRDefault="007B5454" w:rsidP="007B5454">
            <w:pPr>
              <w:rPr>
                <w:rFonts w:cs="Arial"/>
                <w:b/>
                <w:i/>
                <w:color w:val="001950"/>
                <w:sz w:val="21"/>
                <w:szCs w:val="24"/>
              </w:rPr>
            </w:pPr>
            <w:r w:rsidRPr="007B5454">
              <w:rPr>
                <w:rFonts w:cs="Arial"/>
                <w:b/>
                <w:i/>
                <w:color w:val="001950"/>
                <w:sz w:val="21"/>
                <w:szCs w:val="24"/>
              </w:rPr>
              <w:t xml:space="preserve">Investors anticipating BoJ impact on global bond markets  </w:t>
            </w: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AF4AD0" w:rsidRDefault="00630B7A" w:rsidP="003A4D18">
            <w:pPr>
              <w:rPr>
                <w:rFonts w:cs="Arial"/>
                <w:b/>
                <w:i/>
                <w:color w:val="001950"/>
                <w:sz w:val="21"/>
                <w:szCs w:val="24"/>
              </w:rPr>
            </w:pPr>
          </w:p>
          <w:p w:rsidR="00630B7A" w:rsidRPr="00F86614" w:rsidRDefault="00630B7A" w:rsidP="003A4D18">
            <w:pPr>
              <w:rPr>
                <w:rFonts w:cs="Arial"/>
                <w:b/>
                <w:i/>
                <w:color w:val="001950"/>
                <w:szCs w:val="24"/>
              </w:rPr>
            </w:pPr>
          </w:p>
          <w:p w:rsidR="00630B7A" w:rsidRPr="00AF4AD0" w:rsidRDefault="007B5454" w:rsidP="003A4D18">
            <w:pPr>
              <w:rPr>
                <w:rFonts w:cs="Arial"/>
                <w:b/>
                <w:i/>
                <w:color w:val="001950"/>
                <w:sz w:val="21"/>
                <w:szCs w:val="24"/>
              </w:rPr>
            </w:pPr>
            <w:r w:rsidRPr="007B5454">
              <w:rPr>
                <w:rFonts w:cs="Arial"/>
                <w:b/>
                <w:i/>
                <w:color w:val="001950"/>
                <w:sz w:val="21"/>
                <w:szCs w:val="24"/>
              </w:rPr>
              <w:t>The BoJ money printing has only started and will have a major impact in coming months</w:t>
            </w:r>
          </w:p>
          <w:p w:rsidR="00630B7A" w:rsidRPr="00AF4AD0" w:rsidRDefault="00630B7A" w:rsidP="003A4D18">
            <w:pPr>
              <w:rPr>
                <w:rFonts w:cs="Arial"/>
                <w:b/>
                <w:i/>
                <w:color w:val="001950"/>
                <w:sz w:val="21"/>
                <w:szCs w:val="24"/>
              </w:rPr>
            </w:pPr>
          </w:p>
          <w:p w:rsidR="003E20B2" w:rsidRDefault="003E20B2" w:rsidP="003A4D18">
            <w:pPr>
              <w:rPr>
                <w:rFonts w:cs="Arial"/>
                <w:b/>
                <w:i/>
                <w:color w:val="001950"/>
                <w:sz w:val="21"/>
                <w:szCs w:val="24"/>
              </w:rPr>
            </w:pPr>
          </w:p>
          <w:p w:rsidR="00B959EA" w:rsidRDefault="00B959EA" w:rsidP="003A4D18">
            <w:pPr>
              <w:rPr>
                <w:rFonts w:cs="Arial"/>
                <w:b/>
                <w:i/>
                <w:color w:val="001950"/>
                <w:sz w:val="21"/>
                <w:szCs w:val="24"/>
              </w:rPr>
            </w:pPr>
          </w:p>
          <w:p w:rsidR="005A7753" w:rsidRPr="00AF4AD0" w:rsidRDefault="005A7753" w:rsidP="003A4D18">
            <w:pPr>
              <w:rPr>
                <w:rFonts w:cs="Arial"/>
                <w:b/>
                <w:i/>
                <w:color w:val="001950"/>
                <w:sz w:val="21"/>
                <w:szCs w:val="24"/>
              </w:rPr>
            </w:pPr>
          </w:p>
          <w:p w:rsidR="005A7753" w:rsidRPr="00AF4AD0" w:rsidRDefault="005A7753" w:rsidP="003A4D18">
            <w:pPr>
              <w:rPr>
                <w:rFonts w:cs="Arial"/>
                <w:b/>
                <w:i/>
                <w:color w:val="001950"/>
                <w:sz w:val="21"/>
                <w:szCs w:val="24"/>
              </w:rPr>
            </w:pPr>
          </w:p>
          <w:p w:rsidR="005A7753" w:rsidRPr="00AF4AD0" w:rsidRDefault="005A7753" w:rsidP="003A4D18">
            <w:pPr>
              <w:rPr>
                <w:rFonts w:cs="Arial"/>
                <w:b/>
                <w:i/>
                <w:color w:val="001950"/>
                <w:sz w:val="21"/>
                <w:szCs w:val="24"/>
              </w:rPr>
            </w:pPr>
          </w:p>
          <w:p w:rsidR="009A6F22" w:rsidRDefault="009A6F22" w:rsidP="003A4D18">
            <w:pPr>
              <w:rPr>
                <w:rFonts w:cs="Arial"/>
                <w:b/>
                <w:i/>
                <w:color w:val="001950"/>
                <w:sz w:val="21"/>
                <w:szCs w:val="24"/>
              </w:rPr>
            </w:pPr>
          </w:p>
          <w:p w:rsidR="003E20B2" w:rsidRDefault="003E20B2"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FF3B4B" w:rsidRPr="00AF4AD0" w:rsidRDefault="00FF3B4B"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37392" w:rsidRDefault="00690462" w:rsidP="003A4D18">
            <w:pPr>
              <w:rPr>
                <w:rFonts w:cs="Arial"/>
                <w:b/>
                <w:i/>
                <w:color w:val="001950"/>
                <w:sz w:val="4"/>
                <w:szCs w:val="24"/>
              </w:rPr>
            </w:pPr>
          </w:p>
          <w:p w:rsidR="00280EC5" w:rsidRPr="005036B1" w:rsidRDefault="00280EC5" w:rsidP="00280EC5">
            <w:pPr>
              <w:rPr>
                <w:rFonts w:cs="Arial"/>
                <w:b/>
                <w:i/>
                <w:color w:val="001950"/>
                <w:sz w:val="21"/>
                <w:szCs w:val="21"/>
              </w:rPr>
            </w:pPr>
            <w:r>
              <w:rPr>
                <w:rFonts w:cs="Arial"/>
                <w:b/>
                <w:i/>
                <w:color w:val="001950"/>
                <w:sz w:val="21"/>
                <w:szCs w:val="21"/>
              </w:rPr>
              <w:t>Some encouraging signs for Q1, as industrial production begins to stabilise</w:t>
            </w: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Pr="00AF4AD0"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Pr="00280EC5" w:rsidRDefault="00690462" w:rsidP="003A4D18">
            <w:pPr>
              <w:rPr>
                <w:rFonts w:cs="Arial"/>
                <w:b/>
                <w:i/>
                <w:color w:val="001950"/>
                <w:sz w:val="24"/>
                <w:szCs w:val="24"/>
              </w:rPr>
            </w:pPr>
          </w:p>
          <w:p w:rsidR="00280EC5" w:rsidRPr="005036B1" w:rsidRDefault="00280EC5" w:rsidP="00280EC5">
            <w:pPr>
              <w:rPr>
                <w:rFonts w:cs="Arial"/>
                <w:b/>
                <w:i/>
                <w:color w:val="001950"/>
                <w:sz w:val="21"/>
                <w:szCs w:val="21"/>
              </w:rPr>
            </w:pPr>
            <w:r>
              <w:rPr>
                <w:rFonts w:cs="Arial"/>
                <w:b/>
                <w:i/>
                <w:color w:val="001950"/>
                <w:sz w:val="21"/>
                <w:szCs w:val="21"/>
              </w:rPr>
              <w:t>Q1 GDP should improve, but the Eurozone is likely to remain in recession</w:t>
            </w: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FC6086" w:rsidRDefault="00FC6086"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FC6086" w:rsidRDefault="00280EC5" w:rsidP="003A4D18">
            <w:pPr>
              <w:rPr>
                <w:rFonts w:cs="Arial"/>
                <w:b/>
                <w:i/>
                <w:color w:val="001950"/>
                <w:sz w:val="21"/>
                <w:szCs w:val="24"/>
              </w:rPr>
            </w:pPr>
            <w:r w:rsidRPr="00280EC5">
              <w:rPr>
                <w:rFonts w:cs="Arial"/>
                <w:b/>
                <w:i/>
                <w:color w:val="001950"/>
                <w:sz w:val="21"/>
                <w:szCs w:val="24"/>
              </w:rPr>
              <w:t>However, leading indicators suggest the pace of contraction could re-accelerate</w:t>
            </w:r>
          </w:p>
          <w:p w:rsidR="00FC6086" w:rsidRDefault="00FC6086"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Default="00280EC5" w:rsidP="003A4D18">
            <w:pPr>
              <w:rPr>
                <w:rFonts w:cs="Arial"/>
                <w:b/>
                <w:i/>
                <w:color w:val="001950"/>
                <w:sz w:val="21"/>
                <w:szCs w:val="24"/>
              </w:rPr>
            </w:pPr>
          </w:p>
          <w:p w:rsidR="00280EC5" w:rsidRPr="00397AC5" w:rsidRDefault="00280EC5" w:rsidP="003A4D18">
            <w:pPr>
              <w:rPr>
                <w:rFonts w:cs="Arial"/>
                <w:b/>
                <w:i/>
                <w:color w:val="001950"/>
                <w:sz w:val="24"/>
                <w:szCs w:val="24"/>
              </w:rPr>
            </w:pPr>
          </w:p>
          <w:p w:rsidR="00280EC5" w:rsidRDefault="00280EC5" w:rsidP="00280EC5">
            <w:pPr>
              <w:rPr>
                <w:rFonts w:cs="Arial"/>
                <w:b/>
                <w:i/>
                <w:color w:val="001950"/>
                <w:sz w:val="21"/>
                <w:szCs w:val="21"/>
              </w:rPr>
            </w:pPr>
            <w:r>
              <w:rPr>
                <w:rFonts w:cs="Arial"/>
                <w:b/>
                <w:i/>
                <w:color w:val="001950"/>
                <w:sz w:val="21"/>
                <w:szCs w:val="21"/>
              </w:rPr>
              <w:t>Meanwhile, headline inflation is falling…</w:t>
            </w: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Pr="00D11FC7" w:rsidRDefault="00280EC5" w:rsidP="00280EC5">
            <w:pPr>
              <w:rPr>
                <w:rFonts w:cs="Arial"/>
                <w:b/>
                <w:i/>
                <w:color w:val="001950"/>
                <w:sz w:val="10"/>
                <w:szCs w:val="21"/>
              </w:rPr>
            </w:pPr>
          </w:p>
          <w:p w:rsidR="00D11FC7" w:rsidRPr="005036B1" w:rsidRDefault="00D11FC7" w:rsidP="00D11FC7">
            <w:pPr>
              <w:rPr>
                <w:rFonts w:cs="Arial"/>
                <w:b/>
                <w:i/>
                <w:color w:val="001950"/>
                <w:sz w:val="21"/>
                <w:szCs w:val="21"/>
              </w:rPr>
            </w:pPr>
            <w:r>
              <w:rPr>
                <w:rFonts w:cs="Arial"/>
                <w:b/>
                <w:i/>
                <w:color w:val="001950"/>
                <w:sz w:val="21"/>
                <w:szCs w:val="21"/>
              </w:rPr>
              <w:t>…and is falling even faster when you strip out the impact of tax increases.</w:t>
            </w: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Default="00280EC5" w:rsidP="00280EC5">
            <w:pPr>
              <w:rPr>
                <w:rFonts w:cs="Arial"/>
                <w:b/>
                <w:i/>
                <w:color w:val="001950"/>
                <w:sz w:val="21"/>
                <w:szCs w:val="21"/>
              </w:rPr>
            </w:pPr>
          </w:p>
          <w:p w:rsidR="00280EC5" w:rsidRPr="005036B1" w:rsidRDefault="00280EC5" w:rsidP="00280EC5">
            <w:pPr>
              <w:rPr>
                <w:rFonts w:cs="Arial"/>
                <w:b/>
                <w:i/>
                <w:color w:val="001950"/>
                <w:sz w:val="21"/>
                <w:szCs w:val="21"/>
              </w:rPr>
            </w:pPr>
          </w:p>
          <w:p w:rsidR="00280EC5" w:rsidRDefault="00280EC5" w:rsidP="003A4D18">
            <w:pPr>
              <w:rPr>
                <w:rFonts w:cs="Arial"/>
                <w:b/>
                <w:i/>
                <w:color w:val="001950"/>
                <w:sz w:val="21"/>
                <w:szCs w:val="24"/>
              </w:rPr>
            </w:pPr>
          </w:p>
          <w:p w:rsidR="00172EB4" w:rsidRDefault="00172EB4" w:rsidP="003A4D18">
            <w:pPr>
              <w:rPr>
                <w:rFonts w:cs="Arial"/>
                <w:b/>
                <w:i/>
                <w:color w:val="001950"/>
                <w:sz w:val="21"/>
                <w:szCs w:val="24"/>
              </w:rPr>
            </w:pPr>
          </w:p>
          <w:p w:rsidR="00172EB4" w:rsidRDefault="00172EB4" w:rsidP="003A4D18">
            <w:pPr>
              <w:rPr>
                <w:rFonts w:cs="Arial"/>
                <w:b/>
                <w:i/>
                <w:color w:val="001950"/>
                <w:sz w:val="21"/>
                <w:szCs w:val="24"/>
              </w:rPr>
            </w:pPr>
          </w:p>
          <w:p w:rsidR="00172EB4" w:rsidRDefault="00172EB4" w:rsidP="003A4D18">
            <w:pPr>
              <w:rPr>
                <w:rFonts w:cs="Arial"/>
                <w:b/>
                <w:i/>
                <w:color w:val="001950"/>
                <w:sz w:val="21"/>
                <w:szCs w:val="24"/>
              </w:rPr>
            </w:pPr>
          </w:p>
          <w:p w:rsidR="00172EB4" w:rsidRPr="00280EC5" w:rsidRDefault="00172EB4" w:rsidP="003A4D18">
            <w:pPr>
              <w:rPr>
                <w:rFonts w:cs="Arial"/>
                <w:b/>
                <w:i/>
                <w:color w:val="001950"/>
                <w:szCs w:val="24"/>
              </w:rPr>
            </w:pPr>
          </w:p>
          <w:p w:rsidR="00172EB4" w:rsidRDefault="00172EB4" w:rsidP="003A4D18">
            <w:pPr>
              <w:rPr>
                <w:rFonts w:cs="Arial"/>
                <w:b/>
                <w:i/>
                <w:color w:val="001950"/>
                <w:sz w:val="21"/>
                <w:szCs w:val="24"/>
              </w:rPr>
            </w:pPr>
          </w:p>
          <w:p w:rsidR="00172EB4" w:rsidRDefault="00172EB4" w:rsidP="003A4D18">
            <w:pPr>
              <w:rPr>
                <w:rFonts w:cs="Arial"/>
                <w:b/>
                <w:i/>
                <w:color w:val="001950"/>
                <w:sz w:val="21"/>
                <w:szCs w:val="24"/>
              </w:rPr>
            </w:pPr>
          </w:p>
          <w:p w:rsidR="00172EB4" w:rsidRDefault="00172EB4" w:rsidP="003A4D18">
            <w:pPr>
              <w:rPr>
                <w:rFonts w:cs="Arial"/>
                <w:b/>
                <w:i/>
                <w:color w:val="001950"/>
                <w:sz w:val="21"/>
                <w:szCs w:val="24"/>
              </w:rPr>
            </w:pPr>
          </w:p>
          <w:p w:rsidR="00172EB4" w:rsidRDefault="00172EB4"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D11FC7" w:rsidRDefault="00D11FC7"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Pr="00D11FC7" w:rsidRDefault="005628CA" w:rsidP="003A4D18">
            <w:pPr>
              <w:rPr>
                <w:rFonts w:cs="Arial"/>
                <w:b/>
                <w:i/>
                <w:color w:val="001950"/>
                <w:sz w:val="32"/>
                <w:szCs w:val="24"/>
              </w:rPr>
            </w:pPr>
          </w:p>
          <w:p w:rsidR="005628CA" w:rsidRPr="00397AC5" w:rsidRDefault="005628CA" w:rsidP="003A4D18">
            <w:pPr>
              <w:rPr>
                <w:rFonts w:cs="Arial"/>
                <w:b/>
                <w:i/>
                <w:color w:val="001950"/>
                <w:sz w:val="12"/>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5628CA" w:rsidRDefault="005628CA" w:rsidP="003A4D18">
            <w:pPr>
              <w:rPr>
                <w:rFonts w:cs="Arial"/>
                <w:b/>
                <w:i/>
                <w:color w:val="001950"/>
                <w:sz w:val="21"/>
                <w:szCs w:val="24"/>
              </w:rPr>
            </w:pPr>
          </w:p>
          <w:p w:rsidR="00690462" w:rsidRDefault="00690462" w:rsidP="003A4D18">
            <w:pPr>
              <w:rPr>
                <w:rFonts w:cs="Arial"/>
                <w:b/>
                <w:i/>
                <w:color w:val="001950"/>
                <w:sz w:val="18"/>
                <w:szCs w:val="24"/>
              </w:rPr>
            </w:pPr>
          </w:p>
          <w:p w:rsidR="0034247D" w:rsidRDefault="0034247D" w:rsidP="003A4D18">
            <w:pPr>
              <w:rPr>
                <w:rFonts w:cs="Arial"/>
                <w:b/>
                <w:i/>
                <w:color w:val="001950"/>
                <w:sz w:val="18"/>
                <w:szCs w:val="24"/>
              </w:rPr>
            </w:pPr>
          </w:p>
          <w:p w:rsidR="0034247D" w:rsidRPr="00397AC5" w:rsidRDefault="0034247D" w:rsidP="003A4D18">
            <w:pPr>
              <w:rPr>
                <w:rFonts w:cs="Arial"/>
                <w:b/>
                <w:i/>
                <w:color w:val="001950"/>
                <w:sz w:val="18"/>
                <w:szCs w:val="24"/>
              </w:rPr>
            </w:pPr>
          </w:p>
          <w:p w:rsidR="002A1156" w:rsidRDefault="002A1156" w:rsidP="003A4D18">
            <w:pPr>
              <w:rPr>
                <w:rFonts w:cs="Arial"/>
                <w:b/>
                <w:i/>
                <w:color w:val="001950"/>
                <w:sz w:val="21"/>
                <w:szCs w:val="24"/>
              </w:rPr>
            </w:pPr>
          </w:p>
          <w:p w:rsidR="009F3B61" w:rsidRDefault="009F3B61" w:rsidP="00FB66CF">
            <w:pPr>
              <w:rPr>
                <w:rFonts w:cs="Arial"/>
                <w:b/>
                <w:i/>
                <w:color w:val="001950"/>
                <w:sz w:val="21"/>
                <w:szCs w:val="24"/>
              </w:rPr>
            </w:pPr>
          </w:p>
          <w:p w:rsidR="00A0730C" w:rsidRPr="00280EC5" w:rsidRDefault="00A0730C" w:rsidP="003A4D18">
            <w:pPr>
              <w:rPr>
                <w:rFonts w:cs="Arial"/>
                <w:b/>
                <w:i/>
                <w:color w:val="001950"/>
                <w:sz w:val="4"/>
                <w:szCs w:val="24"/>
              </w:rPr>
            </w:pPr>
          </w:p>
          <w:p w:rsidR="00280EC5" w:rsidRPr="00D11FC7" w:rsidRDefault="00280EC5" w:rsidP="003A4D18">
            <w:pPr>
              <w:rPr>
                <w:rFonts w:cs="Arial"/>
                <w:b/>
                <w:i/>
                <w:color w:val="001950"/>
                <w:sz w:val="14"/>
                <w:szCs w:val="24"/>
              </w:rPr>
            </w:pPr>
          </w:p>
          <w:p w:rsidR="00280EC5" w:rsidRPr="005036B1" w:rsidRDefault="00280EC5" w:rsidP="00280EC5">
            <w:pPr>
              <w:rPr>
                <w:rFonts w:cs="Arial"/>
                <w:b/>
                <w:i/>
                <w:color w:val="001950"/>
                <w:sz w:val="21"/>
                <w:szCs w:val="21"/>
              </w:rPr>
            </w:pPr>
            <w:r>
              <w:rPr>
                <w:rFonts w:cs="Arial"/>
                <w:b/>
                <w:i/>
                <w:color w:val="001950"/>
                <w:sz w:val="21"/>
                <w:szCs w:val="21"/>
              </w:rPr>
              <w:t>The ECB needs to act, but options are limited</w:t>
            </w:r>
          </w:p>
          <w:p w:rsidR="00A0730C" w:rsidRDefault="00A0730C" w:rsidP="003A4D18">
            <w:pPr>
              <w:rPr>
                <w:rFonts w:cs="Arial"/>
                <w:b/>
                <w:i/>
                <w:color w:val="001950"/>
                <w:sz w:val="21"/>
                <w:szCs w:val="24"/>
              </w:rPr>
            </w:pPr>
          </w:p>
          <w:p w:rsidR="00A0730C" w:rsidRDefault="00A0730C" w:rsidP="003A4D18">
            <w:pPr>
              <w:rPr>
                <w:rFonts w:cs="Arial"/>
                <w:b/>
                <w:i/>
                <w:color w:val="001950"/>
                <w:sz w:val="21"/>
                <w:szCs w:val="24"/>
              </w:rPr>
            </w:pPr>
          </w:p>
          <w:p w:rsidR="00A0730C" w:rsidRDefault="00A0730C" w:rsidP="003A4D18">
            <w:pPr>
              <w:rPr>
                <w:rFonts w:cs="Arial"/>
                <w:b/>
                <w:i/>
                <w:color w:val="001950"/>
                <w:sz w:val="21"/>
                <w:szCs w:val="24"/>
              </w:rPr>
            </w:pPr>
          </w:p>
          <w:p w:rsidR="00A0730C" w:rsidRDefault="00A0730C" w:rsidP="003A4D18">
            <w:pPr>
              <w:rPr>
                <w:rFonts w:cs="Arial"/>
                <w:b/>
                <w:i/>
                <w:color w:val="001950"/>
                <w:sz w:val="21"/>
                <w:szCs w:val="24"/>
              </w:rPr>
            </w:pPr>
          </w:p>
          <w:p w:rsidR="00A0730C" w:rsidRDefault="00A0730C" w:rsidP="003A4D18">
            <w:pPr>
              <w:rPr>
                <w:rFonts w:cs="Arial"/>
                <w:b/>
                <w:i/>
                <w:color w:val="001950"/>
                <w:sz w:val="21"/>
                <w:szCs w:val="24"/>
              </w:rPr>
            </w:pPr>
          </w:p>
          <w:p w:rsidR="00A0730C" w:rsidRDefault="00A0730C" w:rsidP="003A4D18">
            <w:pPr>
              <w:rPr>
                <w:rFonts w:cs="Arial"/>
                <w:b/>
                <w:i/>
                <w:color w:val="001950"/>
                <w:sz w:val="21"/>
                <w:szCs w:val="24"/>
              </w:rPr>
            </w:pPr>
          </w:p>
          <w:p w:rsidR="00A0730C" w:rsidRDefault="00A0730C" w:rsidP="003A4D18">
            <w:pPr>
              <w:rPr>
                <w:rFonts w:cs="Arial"/>
                <w:b/>
                <w:i/>
                <w:color w:val="001950"/>
                <w:sz w:val="21"/>
                <w:szCs w:val="24"/>
              </w:rPr>
            </w:pPr>
          </w:p>
          <w:p w:rsidR="00AF4AD0" w:rsidRDefault="00AF4AD0" w:rsidP="003A4D18">
            <w:pPr>
              <w:rPr>
                <w:rFonts w:cs="Arial"/>
                <w:b/>
                <w:i/>
                <w:color w:val="001950"/>
                <w:sz w:val="21"/>
                <w:szCs w:val="24"/>
              </w:rPr>
            </w:pPr>
          </w:p>
          <w:p w:rsidR="00280EC5" w:rsidRDefault="00280EC5" w:rsidP="003A4D18">
            <w:pPr>
              <w:rPr>
                <w:rFonts w:cs="Arial"/>
                <w:b/>
                <w:i/>
                <w:color w:val="001950"/>
                <w:sz w:val="21"/>
                <w:szCs w:val="24"/>
              </w:rPr>
            </w:pPr>
          </w:p>
          <w:p w:rsidR="00AF4AD0" w:rsidRDefault="00AF4AD0" w:rsidP="003A4D18">
            <w:pPr>
              <w:rPr>
                <w:rFonts w:cs="Arial"/>
                <w:b/>
                <w:i/>
                <w:color w:val="001950"/>
                <w:sz w:val="21"/>
                <w:szCs w:val="24"/>
              </w:rPr>
            </w:pPr>
          </w:p>
          <w:p w:rsidR="00A0730C" w:rsidRDefault="00A0730C"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2A1156" w:rsidRDefault="002A1156"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8637D4" w:rsidRDefault="008637D4" w:rsidP="003A4D18">
            <w:pPr>
              <w:rPr>
                <w:rFonts w:cs="Arial"/>
                <w:b/>
                <w:i/>
                <w:color w:val="001950"/>
                <w:sz w:val="21"/>
                <w:szCs w:val="24"/>
              </w:rPr>
            </w:pPr>
          </w:p>
          <w:p w:rsidR="008637D4" w:rsidRDefault="008637D4" w:rsidP="003A4D18">
            <w:pPr>
              <w:rPr>
                <w:rFonts w:cs="Arial"/>
                <w:b/>
                <w:i/>
                <w:color w:val="001950"/>
                <w:sz w:val="21"/>
                <w:szCs w:val="24"/>
              </w:rPr>
            </w:pPr>
          </w:p>
          <w:p w:rsidR="008637D4" w:rsidRDefault="008637D4" w:rsidP="003A4D18">
            <w:pPr>
              <w:rPr>
                <w:rFonts w:cs="Arial"/>
                <w:b/>
                <w:i/>
                <w:color w:val="001950"/>
                <w:sz w:val="21"/>
                <w:szCs w:val="24"/>
              </w:rPr>
            </w:pPr>
          </w:p>
          <w:p w:rsidR="00D72FD2" w:rsidRPr="00397AC5" w:rsidRDefault="00D72FD2" w:rsidP="003A4D18">
            <w:pPr>
              <w:rPr>
                <w:rFonts w:cs="Arial"/>
                <w:b/>
                <w:i/>
                <w:color w:val="001950"/>
                <w:sz w:val="32"/>
                <w:szCs w:val="24"/>
              </w:rPr>
            </w:pPr>
          </w:p>
          <w:p w:rsidR="00280EC5" w:rsidRPr="005036B1" w:rsidRDefault="00280EC5" w:rsidP="00280EC5">
            <w:pPr>
              <w:rPr>
                <w:rFonts w:cs="Arial"/>
                <w:b/>
                <w:i/>
                <w:color w:val="001950"/>
                <w:sz w:val="21"/>
                <w:szCs w:val="21"/>
              </w:rPr>
            </w:pPr>
            <w:r>
              <w:rPr>
                <w:rFonts w:cs="Arial"/>
                <w:b/>
                <w:i/>
                <w:color w:val="001950"/>
                <w:sz w:val="21"/>
                <w:szCs w:val="21"/>
              </w:rPr>
              <w:t>We expect the ECB to cut interest rates by 25bps, but not to do much else. QE is still off the table</w:t>
            </w: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D72FD2" w:rsidRDefault="00D72FD2" w:rsidP="003A4D18">
            <w:pPr>
              <w:rPr>
                <w:rFonts w:cs="Arial"/>
                <w:b/>
                <w:i/>
                <w:color w:val="001950"/>
                <w:sz w:val="21"/>
                <w:szCs w:val="24"/>
              </w:rPr>
            </w:pPr>
          </w:p>
          <w:p w:rsidR="00F9397D" w:rsidRDefault="00F9397D" w:rsidP="00D732F0">
            <w:pPr>
              <w:rPr>
                <w:rFonts w:cs="Arial"/>
                <w:b/>
                <w:i/>
                <w:color w:val="001950"/>
                <w:sz w:val="21"/>
                <w:szCs w:val="24"/>
              </w:rPr>
            </w:pPr>
          </w:p>
          <w:p w:rsidR="00F9397D" w:rsidRDefault="00F9397D" w:rsidP="00D732F0">
            <w:pPr>
              <w:rPr>
                <w:rFonts w:cs="Arial"/>
                <w:b/>
                <w:i/>
                <w:color w:val="001950"/>
                <w:sz w:val="21"/>
                <w:szCs w:val="24"/>
              </w:rPr>
            </w:pPr>
          </w:p>
          <w:p w:rsidR="00F9397D" w:rsidRDefault="00F9397D" w:rsidP="00D732F0">
            <w:pPr>
              <w:rPr>
                <w:rFonts w:cs="Arial"/>
                <w:b/>
                <w:i/>
                <w:color w:val="001950"/>
                <w:sz w:val="21"/>
                <w:szCs w:val="24"/>
              </w:rPr>
            </w:pPr>
          </w:p>
          <w:p w:rsidR="005F34D3" w:rsidRDefault="005F34D3" w:rsidP="003A4D18">
            <w:pPr>
              <w:rPr>
                <w:rFonts w:cs="Arial"/>
                <w:b/>
                <w:i/>
                <w:color w:val="001950"/>
                <w:sz w:val="21"/>
                <w:szCs w:val="24"/>
              </w:rPr>
            </w:pPr>
          </w:p>
          <w:p w:rsidR="005F34D3" w:rsidRDefault="005F34D3" w:rsidP="003A4D18">
            <w:pPr>
              <w:rPr>
                <w:rFonts w:cs="Arial"/>
                <w:b/>
                <w:i/>
                <w:color w:val="001950"/>
                <w:sz w:val="21"/>
                <w:szCs w:val="24"/>
              </w:rPr>
            </w:pPr>
          </w:p>
          <w:p w:rsidR="005F34D3" w:rsidRDefault="005F34D3"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9668EE" w:rsidP="003A4D18">
            <w:pPr>
              <w:rPr>
                <w:rFonts w:cs="Arial"/>
                <w:b/>
                <w:i/>
                <w:color w:val="001950"/>
                <w:sz w:val="21"/>
                <w:szCs w:val="24"/>
              </w:rPr>
            </w:pPr>
            <w:r w:rsidRPr="00910009">
              <w:rPr>
                <w:rFonts w:cs="Arial"/>
                <w:noProof/>
                <w:color w:val="auto"/>
                <w:sz w:val="21"/>
                <w:szCs w:val="21"/>
                <w:lang w:eastAsia="en-GB"/>
              </w:rPr>
              <w:pict>
                <v:shapetype id="_x0000_t202" coordsize="21600,21600" o:spt="202" path="m,l,21600r21600,l21600,xe">
                  <v:stroke joinstyle="miter"/>
                  <v:path gradientshapeok="t" o:connecttype="rect"/>
                </v:shapetype>
                <v:shape id="Text Box 2" o:spid="_x0000_s1034" type="#_x0000_t202" style="position:absolute;margin-left:-.35pt;margin-top:6.5pt;width:95.4pt;height:79.6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rsidR="00910009" w:rsidRPr="005036B1" w:rsidRDefault="00F76AA7" w:rsidP="00910009">
                        <w:pPr>
                          <w:rPr>
                            <w:rFonts w:cs="Arial"/>
                            <w:b/>
                            <w:i/>
                            <w:color w:val="001950"/>
                            <w:sz w:val="21"/>
                            <w:szCs w:val="21"/>
                          </w:rPr>
                        </w:pPr>
                        <w:r>
                          <w:rPr>
                            <w:rFonts w:cs="Arial"/>
                            <w:b/>
                            <w:i/>
                            <w:color w:val="001950"/>
                            <w:sz w:val="21"/>
                            <w:szCs w:val="21"/>
                          </w:rPr>
                          <w:t>The slowdown in growth was caused by the contribution from investment</w:t>
                        </w:r>
                      </w:p>
                    </w:txbxContent>
                  </v:textbox>
                </v:shape>
              </w:pict>
            </w:r>
          </w:p>
          <w:p w:rsidR="00172EB4" w:rsidRDefault="00172EB4" w:rsidP="003A4D18">
            <w:pPr>
              <w:rPr>
                <w:rFonts w:cs="Arial"/>
                <w:b/>
                <w:i/>
                <w:color w:val="001950"/>
                <w:sz w:val="21"/>
                <w:szCs w:val="24"/>
              </w:rPr>
            </w:pPr>
          </w:p>
          <w:p w:rsidR="00172EB4" w:rsidRDefault="00172EB4"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8E4959" w:rsidRDefault="008E4959" w:rsidP="003A4D18">
            <w:pPr>
              <w:rPr>
                <w:rFonts w:cs="Arial"/>
                <w:b/>
                <w:i/>
                <w:color w:val="001950"/>
                <w:sz w:val="21"/>
                <w:szCs w:val="24"/>
              </w:rPr>
            </w:pPr>
          </w:p>
          <w:p w:rsidR="00F76AA7" w:rsidRDefault="00F76AA7" w:rsidP="003A4D18">
            <w:pPr>
              <w:rPr>
                <w:rFonts w:cs="Arial"/>
                <w:b/>
                <w:i/>
                <w:color w:val="001950"/>
                <w:sz w:val="21"/>
                <w:szCs w:val="24"/>
              </w:rPr>
            </w:pPr>
          </w:p>
          <w:p w:rsidR="00F76AA7" w:rsidRDefault="00F76AA7" w:rsidP="003A4D18">
            <w:pPr>
              <w:rPr>
                <w:rFonts w:cs="Arial"/>
                <w:b/>
                <w:i/>
                <w:color w:val="001950"/>
                <w:sz w:val="21"/>
                <w:szCs w:val="24"/>
              </w:rPr>
            </w:pPr>
          </w:p>
          <w:p w:rsidR="00F76AA7" w:rsidRDefault="00F76AA7" w:rsidP="003A4D18">
            <w:pPr>
              <w:rPr>
                <w:rFonts w:cs="Arial"/>
                <w:b/>
                <w:i/>
                <w:color w:val="001950"/>
                <w:sz w:val="21"/>
                <w:szCs w:val="24"/>
              </w:rPr>
            </w:pPr>
          </w:p>
          <w:p w:rsidR="00EA2A00" w:rsidRPr="00EA2A00" w:rsidRDefault="00EA2A00" w:rsidP="003A4D18">
            <w:pPr>
              <w:rPr>
                <w:rFonts w:cs="Arial"/>
                <w:b/>
                <w:i/>
                <w:color w:val="001950"/>
                <w:sz w:val="14"/>
                <w:szCs w:val="24"/>
              </w:rPr>
            </w:pPr>
          </w:p>
          <w:p w:rsidR="00F76AA7" w:rsidRDefault="00F76AA7" w:rsidP="003A4D18">
            <w:pPr>
              <w:rPr>
                <w:rFonts w:cs="Arial"/>
                <w:b/>
                <w:i/>
                <w:color w:val="001950"/>
                <w:sz w:val="21"/>
                <w:szCs w:val="24"/>
              </w:rPr>
            </w:pPr>
          </w:p>
          <w:p w:rsidR="00F76AA7" w:rsidRPr="009668EE" w:rsidRDefault="00F76AA7" w:rsidP="003A4D18">
            <w:pPr>
              <w:rPr>
                <w:rFonts w:cs="Arial"/>
                <w:b/>
                <w:i/>
                <w:color w:val="001950"/>
                <w:sz w:val="12"/>
                <w:szCs w:val="24"/>
              </w:rPr>
            </w:pPr>
          </w:p>
          <w:p w:rsidR="00690462" w:rsidRDefault="00F76AA7" w:rsidP="003A4D18">
            <w:pPr>
              <w:rPr>
                <w:rFonts w:cs="Arial"/>
                <w:b/>
                <w:i/>
                <w:color w:val="001950"/>
                <w:sz w:val="21"/>
                <w:szCs w:val="24"/>
              </w:rPr>
            </w:pPr>
            <w:r>
              <w:rPr>
                <w:rFonts w:cs="Arial"/>
                <w:b/>
                <w:i/>
                <w:color w:val="001950"/>
                <w:sz w:val="21"/>
                <w:szCs w:val="24"/>
              </w:rPr>
              <w:t>Increased consumption is long-term structural theme, resilient to cyclical swings</w:t>
            </w: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3E20B2" w:rsidRDefault="003E20B2" w:rsidP="00690462">
            <w:pPr>
              <w:rPr>
                <w:rFonts w:cs="Arial"/>
                <w:b/>
                <w:i/>
                <w:color w:val="001950"/>
                <w:lang w:eastAsia="en-GB"/>
              </w:rPr>
            </w:pPr>
          </w:p>
          <w:p w:rsidR="00690462" w:rsidRPr="00BD3100" w:rsidRDefault="00690462" w:rsidP="00690462">
            <w:pPr>
              <w:rPr>
                <w:rFonts w:ascii="Times New Roman" w:hAnsi="Times New Roman"/>
                <w:color w:val="001950"/>
                <w:lang w:eastAsia="en-GB"/>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68455A" w:rsidRPr="00BD3100" w:rsidRDefault="0068455A" w:rsidP="003A4D18">
            <w:pPr>
              <w:rPr>
                <w:rFonts w:cs="Arial"/>
                <w:b/>
                <w:i/>
                <w:color w:val="001950"/>
                <w:sz w:val="21"/>
                <w:szCs w:val="24"/>
              </w:rPr>
            </w:pPr>
          </w:p>
          <w:p w:rsidR="00690462" w:rsidRDefault="00690462" w:rsidP="003A4D18">
            <w:pPr>
              <w:rPr>
                <w:rFonts w:cs="Arial"/>
                <w:b/>
                <w:i/>
                <w:color w:val="001950"/>
                <w:sz w:val="21"/>
                <w:szCs w:val="24"/>
              </w:rPr>
            </w:pPr>
          </w:p>
          <w:p w:rsidR="00172EB4" w:rsidRDefault="00172EB4" w:rsidP="003A4D18">
            <w:pPr>
              <w:rPr>
                <w:rFonts w:cs="Arial"/>
                <w:b/>
                <w:i/>
                <w:color w:val="001950"/>
                <w:sz w:val="21"/>
                <w:szCs w:val="24"/>
              </w:rPr>
            </w:pPr>
          </w:p>
          <w:p w:rsidR="00172EB4" w:rsidRPr="00BD3100" w:rsidRDefault="00172EB4"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8637D4" w:rsidRDefault="008637D4" w:rsidP="00690462">
            <w:pPr>
              <w:rPr>
                <w:rFonts w:cs="Arial"/>
                <w:b/>
                <w:i/>
                <w:color w:val="001950"/>
                <w:sz w:val="21"/>
                <w:szCs w:val="24"/>
              </w:rPr>
            </w:pPr>
          </w:p>
          <w:p w:rsidR="005025D6" w:rsidRDefault="005025D6" w:rsidP="00690462">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EA2A00" w:rsidRPr="00EA2A00" w:rsidRDefault="00EA2A00" w:rsidP="003A4D18">
            <w:pPr>
              <w:rPr>
                <w:rFonts w:cs="Arial"/>
                <w:b/>
                <w:i/>
                <w:color w:val="001950"/>
                <w:sz w:val="24"/>
                <w:szCs w:val="24"/>
              </w:rPr>
            </w:pPr>
          </w:p>
          <w:p w:rsidR="00690462" w:rsidRPr="00BD3100" w:rsidRDefault="00F76AA7" w:rsidP="00690462">
            <w:pPr>
              <w:rPr>
                <w:rFonts w:ascii="Times New Roman" w:hAnsi="Times New Roman"/>
                <w:color w:val="001950"/>
                <w:lang w:eastAsia="en-GB"/>
              </w:rPr>
            </w:pPr>
            <w:r>
              <w:rPr>
                <w:rFonts w:cs="Arial"/>
                <w:b/>
                <w:i/>
                <w:color w:val="001950"/>
                <w:lang w:eastAsia="en-GB"/>
              </w:rPr>
              <w:t>The continued push for urbanisation will retain a need for heavy investment in housing and infrastructure</w:t>
            </w:r>
            <w:r w:rsidR="00690462" w:rsidRPr="00BD3100">
              <w:rPr>
                <w:rFonts w:ascii="Times New Roman" w:hAnsi="Times New Roman"/>
                <w:color w:val="001950"/>
                <w:lang w:eastAsia="en-GB"/>
              </w:rPr>
              <w:t xml:space="preserve"> </w:t>
            </w:r>
          </w:p>
          <w:p w:rsidR="00690462" w:rsidRPr="00BD3100" w:rsidRDefault="00690462" w:rsidP="00690462">
            <w:pPr>
              <w:rPr>
                <w:rFonts w:ascii="Times New Roman" w:hAnsi="Times New Roman"/>
                <w:color w:val="001950"/>
                <w:lang w:eastAsia="en-GB"/>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Pr="00BD3100" w:rsidRDefault="00690462" w:rsidP="003A4D18">
            <w:pPr>
              <w:rPr>
                <w:rFonts w:cs="Arial"/>
                <w:b/>
                <w:i/>
                <w:color w:val="001950"/>
                <w:sz w:val="21"/>
                <w:szCs w:val="24"/>
              </w:rPr>
            </w:pPr>
          </w:p>
          <w:p w:rsidR="00690462" w:rsidRDefault="00690462" w:rsidP="003A4D18">
            <w:pPr>
              <w:rPr>
                <w:rFonts w:cs="Arial"/>
                <w:b/>
                <w:i/>
                <w:color w:val="001950"/>
                <w:sz w:val="21"/>
                <w:szCs w:val="24"/>
              </w:rPr>
            </w:pPr>
          </w:p>
          <w:p w:rsidR="00BD3100" w:rsidRPr="00BD3100" w:rsidRDefault="00BD3100" w:rsidP="003A4D18">
            <w:pPr>
              <w:rPr>
                <w:rFonts w:cs="Arial"/>
                <w:b/>
                <w:i/>
                <w:color w:val="001950"/>
                <w:sz w:val="21"/>
                <w:szCs w:val="24"/>
              </w:rPr>
            </w:pPr>
          </w:p>
          <w:p w:rsidR="00690462" w:rsidRDefault="00690462" w:rsidP="003A4D18">
            <w:pPr>
              <w:rPr>
                <w:rFonts w:cs="Arial"/>
                <w:b/>
                <w:i/>
                <w:color w:val="001950"/>
                <w:sz w:val="21"/>
                <w:szCs w:val="24"/>
              </w:rPr>
            </w:pPr>
          </w:p>
          <w:p w:rsidR="00BD3100" w:rsidRDefault="00BD3100" w:rsidP="003A4D18">
            <w:pPr>
              <w:rPr>
                <w:rFonts w:cs="Arial"/>
                <w:b/>
                <w:i/>
                <w:color w:val="001950"/>
                <w:sz w:val="21"/>
                <w:szCs w:val="24"/>
              </w:rPr>
            </w:pPr>
          </w:p>
          <w:p w:rsidR="00242ED9" w:rsidRDefault="00242ED9" w:rsidP="003A4D18">
            <w:pPr>
              <w:rPr>
                <w:rFonts w:cs="Arial"/>
                <w:b/>
                <w:i/>
                <w:color w:val="001950"/>
                <w:sz w:val="21"/>
                <w:szCs w:val="24"/>
              </w:rPr>
            </w:pPr>
          </w:p>
          <w:p w:rsidR="00242ED9" w:rsidRDefault="00242ED9" w:rsidP="003A4D18">
            <w:pPr>
              <w:rPr>
                <w:rFonts w:cs="Arial"/>
                <w:b/>
                <w:i/>
                <w:color w:val="001950"/>
                <w:sz w:val="21"/>
                <w:szCs w:val="24"/>
              </w:rPr>
            </w:pPr>
          </w:p>
          <w:p w:rsidR="009F3B61" w:rsidRDefault="009F3B61" w:rsidP="00690462">
            <w:pPr>
              <w:rPr>
                <w:rFonts w:cs="Arial"/>
                <w:b/>
                <w:i/>
                <w:color w:val="001950"/>
                <w:sz w:val="21"/>
                <w:szCs w:val="24"/>
              </w:rPr>
            </w:pPr>
          </w:p>
          <w:p w:rsidR="00690462" w:rsidRDefault="00690462"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055E36" w:rsidRDefault="00055E36" w:rsidP="003A4D18">
            <w:pPr>
              <w:rPr>
                <w:rFonts w:cs="Arial"/>
                <w:b/>
                <w:i/>
                <w:color w:val="001950"/>
                <w:sz w:val="21"/>
                <w:szCs w:val="24"/>
              </w:rPr>
            </w:pPr>
          </w:p>
          <w:p w:rsidR="00055E36" w:rsidRDefault="00055E36" w:rsidP="003A4D18">
            <w:pPr>
              <w:rPr>
                <w:rFonts w:cs="Arial"/>
                <w:b/>
                <w:i/>
                <w:color w:val="001950"/>
                <w:sz w:val="21"/>
                <w:szCs w:val="24"/>
              </w:rPr>
            </w:pPr>
          </w:p>
          <w:p w:rsidR="00055E36" w:rsidRDefault="00055E36" w:rsidP="003A4D18">
            <w:pPr>
              <w:rPr>
                <w:rFonts w:cs="Arial"/>
                <w:b/>
                <w:i/>
                <w:color w:val="001950"/>
                <w:sz w:val="21"/>
                <w:szCs w:val="24"/>
              </w:rPr>
            </w:pPr>
          </w:p>
          <w:p w:rsidR="00055E36" w:rsidRDefault="00055E36" w:rsidP="003A4D18">
            <w:pPr>
              <w:rPr>
                <w:rFonts w:cs="Arial"/>
                <w:b/>
                <w:i/>
                <w:color w:val="001950"/>
                <w:sz w:val="21"/>
                <w:szCs w:val="24"/>
              </w:rPr>
            </w:pPr>
          </w:p>
          <w:p w:rsidR="00055E36" w:rsidRDefault="00055E36" w:rsidP="003A4D18">
            <w:pPr>
              <w:rPr>
                <w:rFonts w:cs="Arial"/>
                <w:b/>
                <w:i/>
                <w:color w:val="001950"/>
                <w:sz w:val="21"/>
                <w:szCs w:val="24"/>
              </w:rPr>
            </w:pPr>
          </w:p>
          <w:p w:rsidR="00172EB4" w:rsidRDefault="00172EB4" w:rsidP="003A4D18">
            <w:pPr>
              <w:rPr>
                <w:rFonts w:cs="Arial"/>
                <w:b/>
                <w:i/>
                <w:color w:val="001950"/>
                <w:sz w:val="21"/>
                <w:szCs w:val="24"/>
              </w:rPr>
            </w:pPr>
          </w:p>
          <w:p w:rsidR="00172EB4" w:rsidRDefault="00172EB4" w:rsidP="003A4D18">
            <w:pPr>
              <w:rPr>
                <w:rFonts w:cs="Arial"/>
                <w:b/>
                <w:i/>
                <w:color w:val="001950"/>
                <w:sz w:val="21"/>
                <w:szCs w:val="24"/>
              </w:rPr>
            </w:pPr>
          </w:p>
          <w:p w:rsidR="00172EB4" w:rsidRDefault="00172EB4" w:rsidP="003A4D18">
            <w:pPr>
              <w:rPr>
                <w:rFonts w:cs="Arial"/>
                <w:b/>
                <w:i/>
                <w:color w:val="001950"/>
                <w:sz w:val="21"/>
                <w:szCs w:val="24"/>
              </w:rPr>
            </w:pPr>
          </w:p>
          <w:p w:rsidR="00172EB4" w:rsidRDefault="00172EB4" w:rsidP="003A4D18">
            <w:pPr>
              <w:rPr>
                <w:rFonts w:cs="Arial"/>
                <w:b/>
                <w:i/>
                <w:color w:val="001950"/>
                <w:sz w:val="21"/>
                <w:szCs w:val="24"/>
              </w:rPr>
            </w:pPr>
          </w:p>
          <w:p w:rsidR="00172EB4" w:rsidRDefault="00172EB4" w:rsidP="003A4D18">
            <w:pPr>
              <w:rPr>
                <w:rFonts w:cs="Arial"/>
                <w:b/>
                <w:i/>
                <w:color w:val="001950"/>
                <w:sz w:val="21"/>
                <w:szCs w:val="24"/>
              </w:rPr>
            </w:pPr>
          </w:p>
          <w:p w:rsidR="00172EB4" w:rsidRPr="009668EE" w:rsidRDefault="00172EB4" w:rsidP="003A4D18">
            <w:pPr>
              <w:rPr>
                <w:rFonts w:cs="Arial"/>
                <w:b/>
                <w:i/>
                <w:color w:val="001950"/>
                <w:sz w:val="12"/>
                <w:szCs w:val="24"/>
              </w:rPr>
            </w:pPr>
          </w:p>
          <w:p w:rsidR="00326F41" w:rsidRDefault="00F76AA7" w:rsidP="003A4D18">
            <w:pPr>
              <w:rPr>
                <w:rFonts w:cs="Arial"/>
                <w:b/>
                <w:i/>
                <w:color w:val="001950"/>
                <w:sz w:val="21"/>
                <w:szCs w:val="24"/>
              </w:rPr>
            </w:pPr>
            <w:r>
              <w:rPr>
                <w:rFonts w:cs="Arial"/>
                <w:b/>
                <w:i/>
                <w:color w:val="001950"/>
                <w:sz w:val="21"/>
                <w:szCs w:val="24"/>
              </w:rPr>
              <w:t>The stock of fixed capital in China is not disproportionate to GDP, and depreciates quickly</w:t>
            </w: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D11FC7" w:rsidRDefault="00D11FC7" w:rsidP="003A4D18">
            <w:pPr>
              <w:rPr>
                <w:rFonts w:cs="Arial"/>
                <w:b/>
                <w:i/>
                <w:color w:val="001950"/>
                <w:sz w:val="21"/>
                <w:szCs w:val="24"/>
              </w:rPr>
            </w:pPr>
          </w:p>
          <w:p w:rsidR="00326F41" w:rsidRDefault="00AC18F6" w:rsidP="003A4D18">
            <w:pPr>
              <w:rPr>
                <w:rFonts w:cs="Arial"/>
                <w:b/>
                <w:i/>
                <w:color w:val="001950"/>
                <w:sz w:val="21"/>
                <w:szCs w:val="24"/>
              </w:rPr>
            </w:pPr>
            <w:r>
              <w:rPr>
                <w:rFonts w:cs="Arial"/>
                <w:b/>
                <w:i/>
                <w:color w:val="001950"/>
                <w:sz w:val="21"/>
                <w:szCs w:val="24"/>
              </w:rPr>
              <w:t>The quality and efficiency of investment must be improved to correct the current underuse of resources</w:t>
            </w: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100592" w:rsidRDefault="00100592" w:rsidP="003A4D18">
            <w:pPr>
              <w:rPr>
                <w:rFonts w:cs="Arial"/>
                <w:b/>
                <w:i/>
                <w:color w:val="001950"/>
                <w:sz w:val="21"/>
                <w:szCs w:val="24"/>
              </w:rPr>
            </w:pPr>
          </w:p>
          <w:p w:rsidR="00100592" w:rsidRDefault="00100592" w:rsidP="003A4D18">
            <w:pPr>
              <w:rPr>
                <w:rFonts w:cs="Arial"/>
                <w:b/>
                <w:i/>
                <w:color w:val="001950"/>
                <w:sz w:val="21"/>
                <w:szCs w:val="24"/>
              </w:rPr>
            </w:pPr>
          </w:p>
          <w:p w:rsidR="00100592" w:rsidRDefault="00100592" w:rsidP="003A4D18">
            <w:pPr>
              <w:rPr>
                <w:rFonts w:cs="Arial"/>
                <w:b/>
                <w:i/>
                <w:color w:val="001950"/>
                <w:sz w:val="21"/>
                <w:szCs w:val="24"/>
              </w:rPr>
            </w:pPr>
          </w:p>
          <w:p w:rsidR="00100592" w:rsidRDefault="00100592" w:rsidP="003A4D18">
            <w:pPr>
              <w:rPr>
                <w:rFonts w:cs="Arial"/>
                <w:b/>
                <w:i/>
                <w:color w:val="001950"/>
                <w:sz w:val="21"/>
                <w:szCs w:val="24"/>
              </w:rPr>
            </w:pPr>
          </w:p>
          <w:p w:rsidR="00100592" w:rsidRDefault="00100592" w:rsidP="003A4D18">
            <w:pPr>
              <w:rPr>
                <w:rFonts w:cs="Arial"/>
                <w:b/>
                <w:i/>
                <w:color w:val="001950"/>
                <w:sz w:val="21"/>
                <w:szCs w:val="24"/>
              </w:rPr>
            </w:pPr>
          </w:p>
          <w:p w:rsidR="00100592" w:rsidRDefault="00100592" w:rsidP="003A4D18">
            <w:pPr>
              <w:rPr>
                <w:rFonts w:cs="Arial"/>
                <w:b/>
                <w:i/>
                <w:color w:val="001950"/>
                <w:sz w:val="21"/>
                <w:szCs w:val="24"/>
              </w:rPr>
            </w:pPr>
          </w:p>
          <w:p w:rsidR="00100592" w:rsidRDefault="00100592" w:rsidP="003A4D18">
            <w:pPr>
              <w:rPr>
                <w:rFonts w:cs="Arial"/>
                <w:b/>
                <w:i/>
                <w:color w:val="001950"/>
                <w:sz w:val="21"/>
                <w:szCs w:val="24"/>
              </w:rPr>
            </w:pPr>
          </w:p>
          <w:p w:rsidR="00100592" w:rsidRDefault="00100592"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9668EE" w:rsidRDefault="009668EE" w:rsidP="003A4D18">
            <w:pPr>
              <w:rPr>
                <w:rFonts w:cs="Arial"/>
                <w:b/>
                <w:i/>
                <w:color w:val="001950"/>
                <w:sz w:val="21"/>
                <w:szCs w:val="24"/>
              </w:rPr>
            </w:pPr>
          </w:p>
          <w:p w:rsidR="009668EE" w:rsidRDefault="009668EE" w:rsidP="003A4D18">
            <w:pPr>
              <w:rPr>
                <w:rFonts w:cs="Arial"/>
                <w:b/>
                <w:i/>
                <w:color w:val="001950"/>
                <w:sz w:val="21"/>
                <w:szCs w:val="24"/>
              </w:rPr>
            </w:pPr>
          </w:p>
          <w:p w:rsidR="009668EE" w:rsidRDefault="009668EE"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Default="00326F41" w:rsidP="003A4D18">
            <w:pPr>
              <w:rPr>
                <w:rFonts w:cs="Arial"/>
                <w:b/>
                <w:i/>
                <w:color w:val="001950"/>
                <w:sz w:val="21"/>
                <w:szCs w:val="24"/>
              </w:rPr>
            </w:pPr>
          </w:p>
          <w:p w:rsidR="00326F41" w:rsidRPr="00677B5D" w:rsidRDefault="00326F41" w:rsidP="003A4D18">
            <w:pPr>
              <w:rPr>
                <w:rFonts w:cs="Arial"/>
                <w:b/>
                <w:i/>
                <w:color w:val="001950"/>
                <w:sz w:val="21"/>
                <w:szCs w:val="24"/>
              </w:rPr>
            </w:pPr>
          </w:p>
        </w:tc>
        <w:tc>
          <w:tcPr>
            <w:tcW w:w="8059" w:type="dxa"/>
          </w:tcPr>
          <w:p w:rsidR="0085610B" w:rsidRDefault="00417726" w:rsidP="00E04144">
            <w:pPr>
              <w:pStyle w:val="Textosimples"/>
              <w:spacing w:after="120"/>
              <w:jc w:val="both"/>
              <w:rPr>
                <w:rFonts w:cs="Arial"/>
                <w:b/>
                <w:bCs/>
                <w:color w:val="001950"/>
                <w:sz w:val="24"/>
              </w:rPr>
            </w:pPr>
            <w:r>
              <w:rPr>
                <w:rFonts w:cs="Arial"/>
                <w:b/>
                <w:bCs/>
                <w:color w:val="001950"/>
                <w:sz w:val="24"/>
              </w:rPr>
              <w:lastRenderedPageBreak/>
              <w:t>A</w:t>
            </w:r>
            <w:r w:rsidR="0085610B" w:rsidRPr="0085610B">
              <w:rPr>
                <w:rFonts w:cs="Arial"/>
                <w:b/>
                <w:bCs/>
                <w:color w:val="001950"/>
                <w:sz w:val="24"/>
              </w:rPr>
              <w:t xml:space="preserve">nother year of </w:t>
            </w:r>
            <w:r>
              <w:rPr>
                <w:rFonts w:cs="Arial"/>
                <w:b/>
                <w:bCs/>
                <w:color w:val="001950"/>
                <w:sz w:val="24"/>
              </w:rPr>
              <w:t>“</w:t>
            </w:r>
            <w:r w:rsidR="0085610B" w:rsidRPr="0085610B">
              <w:rPr>
                <w:rFonts w:cs="Arial"/>
                <w:b/>
                <w:bCs/>
                <w:color w:val="001950"/>
                <w:sz w:val="24"/>
              </w:rPr>
              <w:t>sell in May</w:t>
            </w:r>
            <w:r>
              <w:rPr>
                <w:rFonts w:cs="Arial"/>
                <w:b/>
                <w:bCs/>
                <w:color w:val="001950"/>
                <w:sz w:val="24"/>
              </w:rPr>
              <w:t>”</w:t>
            </w:r>
            <w:r w:rsidR="0085610B" w:rsidRPr="0085610B">
              <w:rPr>
                <w:rFonts w:cs="Arial"/>
                <w:b/>
                <w:bCs/>
                <w:color w:val="001950"/>
                <w:sz w:val="24"/>
              </w:rPr>
              <w:t>?</w:t>
            </w:r>
          </w:p>
          <w:p w:rsidR="0085610B" w:rsidRPr="008052A2" w:rsidRDefault="0085610B" w:rsidP="008052A2">
            <w:pPr>
              <w:spacing w:after="120"/>
              <w:jc w:val="both"/>
              <w:rPr>
                <w:rFonts w:cs="Arial"/>
                <w:sz w:val="21"/>
                <w:szCs w:val="21"/>
              </w:rPr>
            </w:pPr>
            <w:r w:rsidRPr="008052A2">
              <w:rPr>
                <w:rFonts w:cs="Arial"/>
                <w:sz w:val="21"/>
                <w:szCs w:val="21"/>
              </w:rPr>
              <w:t xml:space="preserve">There is a sense of </w:t>
            </w:r>
            <w:r w:rsidR="008D36DB">
              <w:rPr>
                <w:rFonts w:cs="Arial"/>
                <w:sz w:val="21"/>
                <w:szCs w:val="21"/>
              </w:rPr>
              <w:t>d</w:t>
            </w:r>
            <w:r w:rsidR="008D36DB" w:rsidRPr="008D36DB">
              <w:rPr>
                <w:rFonts w:cs="Arial"/>
                <w:sz w:val="21"/>
                <w:szCs w:val="21"/>
              </w:rPr>
              <w:t>éjà vu</w:t>
            </w:r>
            <w:r w:rsidR="008D36DB">
              <w:rPr>
                <w:rFonts w:cs="Arial"/>
                <w:sz w:val="21"/>
                <w:szCs w:val="21"/>
              </w:rPr>
              <w:t xml:space="preserve"> </w:t>
            </w:r>
            <w:r w:rsidRPr="008052A2">
              <w:rPr>
                <w:rFonts w:cs="Arial"/>
                <w:sz w:val="21"/>
                <w:szCs w:val="21"/>
              </w:rPr>
              <w:t>hanging over investors at present. For the past three years</w:t>
            </w:r>
            <w:r w:rsidR="00417726">
              <w:rPr>
                <w:rFonts w:cs="Arial"/>
                <w:sz w:val="21"/>
                <w:szCs w:val="21"/>
              </w:rPr>
              <w:t>,</w:t>
            </w:r>
            <w:r w:rsidRPr="008052A2">
              <w:rPr>
                <w:rFonts w:cs="Arial"/>
                <w:sz w:val="21"/>
                <w:szCs w:val="21"/>
              </w:rPr>
              <w:t xml:space="preserve"> equity markets have started the year strongly on the back of increased optimism about the world economy, only to lose faith in the spring and fall back. The “sell in May and go away” strategy has worked well.</w:t>
            </w:r>
          </w:p>
          <w:p w:rsidR="0085610B" w:rsidRPr="003A0F19" w:rsidRDefault="0085610B" w:rsidP="008052A2">
            <w:pPr>
              <w:spacing w:after="120"/>
              <w:jc w:val="both"/>
              <w:rPr>
                <w:rFonts w:cs="Arial"/>
              </w:rPr>
            </w:pPr>
            <w:r w:rsidRPr="008052A2">
              <w:rPr>
                <w:rFonts w:cs="Arial"/>
                <w:sz w:val="21"/>
                <w:szCs w:val="21"/>
              </w:rPr>
              <w:t>Recent figures suggest that 2013 is following a similar pattern. The latest Purchasing Manager’s Indices’ (PMIs) gave a downbeat message indicating a loss of manufacturing momentum in April. The output PMI's fell in the US, China and the Euro area, with the latter stuck below 50 (i.e. indicating a contraction in act</w:t>
            </w:r>
            <w:r w:rsidR="008052A2">
              <w:rPr>
                <w:rFonts w:cs="Arial"/>
                <w:sz w:val="21"/>
                <w:szCs w:val="21"/>
              </w:rPr>
              <w:t xml:space="preserve">ivity).  These figures suggest </w:t>
            </w:r>
            <w:r w:rsidRPr="008052A2">
              <w:rPr>
                <w:rFonts w:cs="Arial"/>
                <w:sz w:val="21"/>
                <w:szCs w:val="21"/>
              </w:rPr>
              <w:t>a deceleration in global industrial production to a 1% pace from 4% earlier in the year. New orders/ inventory ratios also weakened, a signal that next month's output indices are likely to slip further.</w:t>
            </w:r>
          </w:p>
          <w:p w:rsidR="00383237" w:rsidRPr="006617D6" w:rsidRDefault="00C03E99" w:rsidP="0085610B">
            <w:pPr>
              <w:jc w:val="both"/>
              <w:rPr>
                <w:rFonts w:cs="Arial"/>
                <w:b/>
                <w:bCs/>
                <w:color w:val="002060"/>
                <w:sz w:val="21"/>
                <w:szCs w:val="21"/>
              </w:rPr>
            </w:pPr>
            <w:r w:rsidRPr="006617D6">
              <w:rPr>
                <w:rFonts w:cs="Arial"/>
                <w:b/>
                <w:bCs/>
                <w:color w:val="002060"/>
                <w:sz w:val="21"/>
                <w:szCs w:val="21"/>
              </w:rPr>
              <w:t>Chart 1:</w:t>
            </w:r>
            <w:r w:rsidR="003F5E83" w:rsidRPr="006617D6">
              <w:rPr>
                <w:rFonts w:cs="Arial"/>
                <w:b/>
                <w:bCs/>
                <w:color w:val="002060"/>
                <w:sz w:val="21"/>
                <w:szCs w:val="21"/>
              </w:rPr>
              <w:t xml:space="preserve"> </w:t>
            </w:r>
            <w:r w:rsidR="0085610B">
              <w:t xml:space="preserve"> </w:t>
            </w:r>
            <w:r w:rsidR="00417726">
              <w:rPr>
                <w:rFonts w:cs="Arial"/>
                <w:b/>
                <w:bCs/>
                <w:color w:val="002060"/>
                <w:sz w:val="21"/>
                <w:szCs w:val="21"/>
              </w:rPr>
              <w:t>PMI’s US, China, Euro, Japan</w:t>
            </w:r>
          </w:p>
          <w:p w:rsidR="005969B9" w:rsidRPr="00B33992" w:rsidRDefault="00295A04" w:rsidP="008F4501">
            <w:pPr>
              <w:jc w:val="both"/>
              <w:rPr>
                <w:rFonts w:cs="Arial"/>
                <w:color w:val="002060"/>
                <w:sz w:val="18"/>
                <w:szCs w:val="18"/>
              </w:rPr>
            </w:pPr>
            <w:r>
              <w:rPr>
                <w:rFonts w:cs="Arial"/>
                <w:noProof/>
                <w:color w:val="002060"/>
                <w:sz w:val="18"/>
                <w:szCs w:val="18"/>
                <w:lang w:val="pt-PT" w:eastAsia="pt-PT"/>
              </w:rPr>
              <w:drawing>
                <wp:inline distT="0" distB="0" distL="0" distR="0">
                  <wp:extent cx="4782820" cy="273177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782820" cy="2731770"/>
                          </a:xfrm>
                          <a:prstGeom prst="rect">
                            <a:avLst/>
                          </a:prstGeom>
                          <a:noFill/>
                          <a:ln w="9525">
                            <a:noFill/>
                            <a:miter lim="800000"/>
                            <a:headEnd/>
                            <a:tailEnd/>
                          </a:ln>
                        </pic:spPr>
                      </pic:pic>
                    </a:graphicData>
                  </a:graphic>
                </wp:inline>
              </w:drawing>
            </w:r>
          </w:p>
          <w:p w:rsidR="0085769E" w:rsidRPr="008E71AF" w:rsidRDefault="00BF1F90" w:rsidP="008F4501">
            <w:pPr>
              <w:spacing w:after="120"/>
              <w:jc w:val="both"/>
              <w:rPr>
                <w:rFonts w:cs="Arial"/>
                <w:color w:val="808080"/>
                <w:sz w:val="18"/>
                <w:szCs w:val="18"/>
              </w:rPr>
            </w:pPr>
            <w:r w:rsidRPr="00C63336">
              <w:rPr>
                <w:rFonts w:cs="Arial"/>
                <w:color w:val="808080"/>
                <w:sz w:val="18"/>
                <w:szCs w:val="18"/>
              </w:rPr>
              <w:t>Source:</w:t>
            </w:r>
            <w:r w:rsidR="00974BAF">
              <w:rPr>
                <w:rFonts w:cs="Arial"/>
                <w:color w:val="808080"/>
                <w:sz w:val="18"/>
                <w:szCs w:val="18"/>
              </w:rPr>
              <w:t xml:space="preserve"> </w:t>
            </w:r>
            <w:r w:rsidR="002F0579">
              <w:rPr>
                <w:rFonts w:cs="Arial"/>
                <w:color w:val="808080"/>
                <w:sz w:val="18"/>
                <w:szCs w:val="18"/>
              </w:rPr>
              <w:t>Markit</w:t>
            </w:r>
            <w:r w:rsidR="00974BAF">
              <w:rPr>
                <w:rFonts w:cs="Arial"/>
                <w:color w:val="808080"/>
                <w:sz w:val="18"/>
                <w:szCs w:val="18"/>
              </w:rPr>
              <w:t>, Schroders</w:t>
            </w:r>
            <w:r w:rsidR="009A7BD2">
              <w:rPr>
                <w:rFonts w:cs="Arial"/>
                <w:color w:val="808080"/>
                <w:sz w:val="18"/>
                <w:szCs w:val="18"/>
              </w:rPr>
              <w:t xml:space="preserve">. </w:t>
            </w:r>
            <w:r w:rsidR="00D66CB8">
              <w:rPr>
                <w:rFonts w:cs="Arial"/>
                <w:color w:val="808080"/>
                <w:sz w:val="18"/>
                <w:szCs w:val="18"/>
              </w:rPr>
              <w:t>30</w:t>
            </w:r>
            <w:r w:rsidR="00DE2380">
              <w:rPr>
                <w:rFonts w:cs="Arial"/>
                <w:color w:val="808080"/>
                <w:sz w:val="18"/>
                <w:szCs w:val="18"/>
              </w:rPr>
              <w:t xml:space="preserve"> </w:t>
            </w:r>
            <w:r w:rsidR="002F0579">
              <w:rPr>
                <w:rFonts w:cs="Arial"/>
                <w:color w:val="808080"/>
                <w:sz w:val="18"/>
                <w:szCs w:val="18"/>
              </w:rPr>
              <w:t>April</w:t>
            </w:r>
            <w:r w:rsidR="00C63336">
              <w:rPr>
                <w:rFonts w:cs="Arial"/>
                <w:color w:val="808080"/>
                <w:sz w:val="18"/>
                <w:szCs w:val="18"/>
              </w:rPr>
              <w:t xml:space="preserve"> 2013</w:t>
            </w:r>
          </w:p>
          <w:p w:rsidR="00C63336" w:rsidRDefault="0085610B" w:rsidP="008F4501">
            <w:pPr>
              <w:jc w:val="both"/>
              <w:rPr>
                <w:rFonts w:eastAsia="Calibri"/>
                <w:color w:val="auto"/>
                <w:spacing w:val="-4"/>
                <w:sz w:val="21"/>
                <w:szCs w:val="21"/>
              </w:rPr>
            </w:pPr>
            <w:r w:rsidRPr="0085610B">
              <w:rPr>
                <w:rFonts w:eastAsia="Calibri"/>
                <w:color w:val="auto"/>
                <w:spacing w:val="-4"/>
                <w:sz w:val="21"/>
                <w:szCs w:val="21"/>
              </w:rPr>
              <w:t xml:space="preserve">These figures continue a run of softer data. In the US the Employment report disappointed with an increase of just 88,000 jobs in March, about half the expected gain. The US also saw falls in retail sales and orders for durable goods in March. The surprise index which captures the gap between expectations and outcomes </w:t>
            </w:r>
            <w:r w:rsidR="00417726">
              <w:rPr>
                <w:rFonts w:eastAsia="Calibri"/>
                <w:color w:val="auto"/>
                <w:spacing w:val="-4"/>
                <w:sz w:val="21"/>
                <w:szCs w:val="21"/>
              </w:rPr>
              <w:t xml:space="preserve">in US macro data </w:t>
            </w:r>
            <w:r w:rsidRPr="0085610B">
              <w:rPr>
                <w:rFonts w:eastAsia="Calibri"/>
                <w:color w:val="auto"/>
                <w:spacing w:val="-4"/>
                <w:sz w:val="21"/>
                <w:szCs w:val="21"/>
              </w:rPr>
              <w:t xml:space="preserve">has </w:t>
            </w:r>
            <w:r>
              <w:rPr>
                <w:rFonts w:eastAsia="Calibri"/>
                <w:color w:val="auto"/>
                <w:spacing w:val="-4"/>
                <w:sz w:val="21"/>
                <w:szCs w:val="21"/>
              </w:rPr>
              <w:t xml:space="preserve">turned negative (chart 2). The </w:t>
            </w:r>
            <w:r w:rsidRPr="0085610B">
              <w:rPr>
                <w:rFonts w:eastAsia="Calibri"/>
                <w:color w:val="auto"/>
                <w:spacing w:val="-4"/>
                <w:sz w:val="21"/>
                <w:szCs w:val="21"/>
              </w:rPr>
              <w:t xml:space="preserve">US economy was clearly losing momentum as the quarter ended. </w:t>
            </w:r>
          </w:p>
          <w:p w:rsidR="00EB4224" w:rsidRPr="008F4501" w:rsidRDefault="00EB4224" w:rsidP="00B3292F">
            <w:pPr>
              <w:spacing w:before="120"/>
              <w:jc w:val="both"/>
              <w:rPr>
                <w:rFonts w:cs="Arial"/>
                <w:b/>
                <w:bCs/>
                <w:color w:val="001950"/>
                <w:sz w:val="21"/>
                <w:szCs w:val="21"/>
              </w:rPr>
            </w:pPr>
            <w:r w:rsidRPr="008F4501">
              <w:rPr>
                <w:rFonts w:cs="Arial"/>
                <w:b/>
                <w:bCs/>
                <w:color w:val="001950"/>
                <w:sz w:val="21"/>
                <w:szCs w:val="21"/>
              </w:rPr>
              <w:t>Chart 2:</w:t>
            </w:r>
            <w:r w:rsidR="00B33992" w:rsidRPr="008F4501">
              <w:rPr>
                <w:rFonts w:cs="Arial"/>
                <w:b/>
                <w:bCs/>
                <w:color w:val="001950"/>
                <w:sz w:val="21"/>
                <w:szCs w:val="21"/>
              </w:rPr>
              <w:t xml:space="preserve"> </w:t>
            </w:r>
            <w:r w:rsidR="002F0579">
              <w:t xml:space="preserve"> </w:t>
            </w:r>
            <w:r w:rsidR="002F0579" w:rsidRPr="002F0579">
              <w:rPr>
                <w:rFonts w:cs="Arial"/>
                <w:b/>
                <w:bCs/>
                <w:color w:val="001950"/>
                <w:sz w:val="21"/>
                <w:szCs w:val="21"/>
              </w:rPr>
              <w:t xml:space="preserve">US </w:t>
            </w:r>
            <w:r w:rsidR="002F0579">
              <w:rPr>
                <w:rFonts w:cs="Arial"/>
                <w:b/>
                <w:bCs/>
                <w:color w:val="001950"/>
                <w:sz w:val="21"/>
                <w:szCs w:val="21"/>
              </w:rPr>
              <w:t xml:space="preserve">economic </w:t>
            </w:r>
            <w:r w:rsidR="002F0579" w:rsidRPr="002F0579">
              <w:rPr>
                <w:rFonts w:cs="Arial"/>
                <w:b/>
                <w:bCs/>
                <w:color w:val="001950"/>
                <w:sz w:val="21"/>
                <w:szCs w:val="21"/>
              </w:rPr>
              <w:t>surprise index</w:t>
            </w:r>
          </w:p>
          <w:p w:rsidR="00AB4EA1" w:rsidRDefault="00295A04" w:rsidP="008F4501">
            <w:pPr>
              <w:jc w:val="both"/>
              <w:rPr>
                <w:rFonts w:eastAsia="Calibri" w:cs="Arial"/>
                <w:b/>
                <w:color w:val="001950"/>
                <w:sz w:val="21"/>
                <w:szCs w:val="21"/>
              </w:rPr>
            </w:pPr>
            <w:r>
              <w:rPr>
                <w:rFonts w:eastAsia="Calibri" w:cs="Arial"/>
                <w:b/>
                <w:noProof/>
                <w:color w:val="001950"/>
                <w:sz w:val="21"/>
                <w:szCs w:val="21"/>
                <w:lang w:val="pt-PT" w:eastAsia="pt-PT"/>
              </w:rPr>
              <w:drawing>
                <wp:inline distT="0" distB="0" distL="0" distR="0">
                  <wp:extent cx="4782820" cy="2602230"/>
                  <wp:effectExtent l="1905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t="1497"/>
                          <a:stretch>
                            <a:fillRect/>
                          </a:stretch>
                        </pic:blipFill>
                        <pic:spPr bwMode="auto">
                          <a:xfrm>
                            <a:off x="0" y="0"/>
                            <a:ext cx="4782820" cy="2602230"/>
                          </a:xfrm>
                          <a:prstGeom prst="rect">
                            <a:avLst/>
                          </a:prstGeom>
                          <a:noFill/>
                          <a:ln w="9525">
                            <a:noFill/>
                            <a:miter lim="800000"/>
                            <a:headEnd/>
                            <a:tailEnd/>
                          </a:ln>
                        </pic:spPr>
                      </pic:pic>
                    </a:graphicData>
                  </a:graphic>
                </wp:inline>
              </w:drawing>
            </w:r>
          </w:p>
          <w:p w:rsidR="00B33992" w:rsidRDefault="005C26C2" w:rsidP="00B3292F">
            <w:pPr>
              <w:jc w:val="both"/>
              <w:rPr>
                <w:rFonts w:cs="Arial"/>
                <w:color w:val="808080"/>
                <w:sz w:val="18"/>
                <w:szCs w:val="18"/>
              </w:rPr>
            </w:pPr>
            <w:r w:rsidRPr="00DB3329">
              <w:rPr>
                <w:rFonts w:cs="Arial"/>
                <w:color w:val="808080"/>
                <w:sz w:val="18"/>
                <w:szCs w:val="18"/>
              </w:rPr>
              <w:t>Source:</w:t>
            </w:r>
            <w:r w:rsidR="00E505BA" w:rsidRPr="00DB3329">
              <w:rPr>
                <w:rFonts w:cs="Arial"/>
                <w:color w:val="808080"/>
                <w:sz w:val="18"/>
                <w:szCs w:val="18"/>
              </w:rPr>
              <w:t xml:space="preserve"> </w:t>
            </w:r>
            <w:r w:rsidR="002F0579">
              <w:rPr>
                <w:rFonts w:cs="Arial"/>
                <w:color w:val="808080"/>
                <w:sz w:val="18"/>
                <w:szCs w:val="18"/>
              </w:rPr>
              <w:t>Citigroup</w:t>
            </w:r>
            <w:r w:rsidR="00545C2C">
              <w:rPr>
                <w:rFonts w:cs="Arial"/>
                <w:color w:val="808080"/>
                <w:sz w:val="18"/>
                <w:szCs w:val="18"/>
              </w:rPr>
              <w:t>, Schroders</w:t>
            </w:r>
            <w:r w:rsidR="00C63336">
              <w:rPr>
                <w:rFonts w:cs="Arial"/>
                <w:color w:val="808080"/>
                <w:sz w:val="18"/>
                <w:szCs w:val="18"/>
              </w:rPr>
              <w:t xml:space="preserve">.  </w:t>
            </w:r>
            <w:r w:rsidR="002F0579">
              <w:rPr>
                <w:rFonts w:cs="Arial"/>
                <w:color w:val="808080"/>
                <w:sz w:val="18"/>
                <w:szCs w:val="18"/>
              </w:rPr>
              <w:t>26</w:t>
            </w:r>
            <w:r w:rsidR="00DE2380">
              <w:rPr>
                <w:rFonts w:cs="Arial"/>
                <w:color w:val="808080"/>
                <w:sz w:val="18"/>
                <w:szCs w:val="18"/>
              </w:rPr>
              <w:t xml:space="preserve"> </w:t>
            </w:r>
            <w:r w:rsidR="002F0579">
              <w:rPr>
                <w:rFonts w:cs="Arial"/>
                <w:color w:val="808080"/>
                <w:sz w:val="18"/>
                <w:szCs w:val="18"/>
              </w:rPr>
              <w:t>April</w:t>
            </w:r>
            <w:r w:rsidR="00C63336">
              <w:rPr>
                <w:rFonts w:cs="Arial"/>
                <w:color w:val="808080"/>
                <w:sz w:val="18"/>
                <w:szCs w:val="18"/>
              </w:rPr>
              <w:t xml:space="preserve"> 2013</w:t>
            </w:r>
          </w:p>
          <w:p w:rsidR="002F0579" w:rsidRDefault="002F0579" w:rsidP="007B5454">
            <w:pPr>
              <w:spacing w:after="120"/>
              <w:jc w:val="both"/>
              <w:rPr>
                <w:rFonts w:eastAsia="Calibri"/>
                <w:color w:val="auto"/>
                <w:spacing w:val="-4"/>
                <w:sz w:val="21"/>
                <w:szCs w:val="21"/>
              </w:rPr>
            </w:pPr>
            <w:r w:rsidRPr="002F0579">
              <w:rPr>
                <w:rFonts w:eastAsia="Calibri"/>
                <w:color w:val="auto"/>
                <w:spacing w:val="-4"/>
                <w:sz w:val="21"/>
                <w:szCs w:val="21"/>
              </w:rPr>
              <w:lastRenderedPageBreak/>
              <w:t>Elsewhere</w:t>
            </w:r>
            <w:r w:rsidR="00417726">
              <w:rPr>
                <w:rFonts w:eastAsia="Calibri"/>
                <w:color w:val="auto"/>
                <w:spacing w:val="-4"/>
                <w:sz w:val="21"/>
                <w:szCs w:val="21"/>
              </w:rPr>
              <w:t>,</w:t>
            </w:r>
            <w:r w:rsidRPr="002F0579">
              <w:rPr>
                <w:rFonts w:eastAsia="Calibri"/>
                <w:color w:val="auto"/>
                <w:spacing w:val="-4"/>
                <w:sz w:val="21"/>
                <w:szCs w:val="21"/>
              </w:rPr>
              <w:t xml:space="preserve"> China reported weaker than expected GDP growth for the first quarter</w:t>
            </w:r>
            <w:r w:rsidR="00417726">
              <w:rPr>
                <w:rFonts w:eastAsia="Calibri"/>
                <w:color w:val="auto"/>
                <w:spacing w:val="-4"/>
                <w:sz w:val="21"/>
                <w:szCs w:val="21"/>
              </w:rPr>
              <w:t>:</w:t>
            </w:r>
            <w:r w:rsidRPr="002F0579">
              <w:rPr>
                <w:rFonts w:eastAsia="Calibri"/>
                <w:color w:val="auto"/>
                <w:spacing w:val="-4"/>
                <w:sz w:val="21"/>
                <w:szCs w:val="21"/>
              </w:rPr>
              <w:t xml:space="preserve"> 7.7% y/y compared with expectations of 8%. Taiwanese export orders, often seen as a leading indicator for the region, also fell in March, another sign that manufacturing is downshifting. Copper prices</w:t>
            </w:r>
            <w:r w:rsidR="00417726">
              <w:rPr>
                <w:rFonts w:eastAsia="Calibri"/>
                <w:color w:val="auto"/>
                <w:spacing w:val="-4"/>
                <w:sz w:val="21"/>
                <w:szCs w:val="21"/>
              </w:rPr>
              <w:t>, often seen as a barometer of global growth,</w:t>
            </w:r>
            <w:r w:rsidRPr="002F0579">
              <w:rPr>
                <w:rFonts w:eastAsia="Calibri"/>
                <w:color w:val="auto"/>
                <w:spacing w:val="-4"/>
                <w:sz w:val="21"/>
                <w:szCs w:val="21"/>
              </w:rPr>
              <w:t xml:space="preserve"> have been weak and have just hit </w:t>
            </w:r>
            <w:r w:rsidR="00C37529">
              <w:rPr>
                <w:rFonts w:eastAsia="Calibri"/>
                <w:color w:val="auto"/>
                <w:spacing w:val="-4"/>
                <w:sz w:val="21"/>
                <w:szCs w:val="21"/>
              </w:rPr>
              <w:t xml:space="preserve">an </w:t>
            </w:r>
            <w:r w:rsidRPr="002F0579">
              <w:rPr>
                <w:rFonts w:eastAsia="Calibri"/>
                <w:color w:val="auto"/>
                <w:spacing w:val="-4"/>
                <w:sz w:val="21"/>
                <w:szCs w:val="21"/>
              </w:rPr>
              <w:t>18</w:t>
            </w:r>
            <w:r w:rsidR="00C37529">
              <w:rPr>
                <w:rFonts w:eastAsia="Calibri"/>
                <w:color w:val="auto"/>
                <w:spacing w:val="-4"/>
                <w:sz w:val="21"/>
                <w:szCs w:val="21"/>
              </w:rPr>
              <w:t>-</w:t>
            </w:r>
            <w:r w:rsidRPr="002F0579">
              <w:rPr>
                <w:rFonts w:eastAsia="Calibri"/>
                <w:color w:val="auto"/>
                <w:spacing w:val="-4"/>
                <w:sz w:val="21"/>
                <w:szCs w:val="21"/>
              </w:rPr>
              <w:t>month low.</w:t>
            </w:r>
          </w:p>
          <w:p w:rsidR="002F0579" w:rsidRPr="002F0579" w:rsidRDefault="002F0579" w:rsidP="00CC67E6">
            <w:pPr>
              <w:spacing w:before="240" w:after="120"/>
              <w:jc w:val="both"/>
              <w:rPr>
                <w:rFonts w:cs="Arial"/>
                <w:b/>
                <w:bCs/>
                <w:color w:val="001950"/>
                <w:sz w:val="21"/>
                <w:szCs w:val="21"/>
              </w:rPr>
            </w:pPr>
            <w:r w:rsidRPr="002F0579">
              <w:rPr>
                <w:rFonts w:cs="Arial"/>
                <w:b/>
                <w:bCs/>
                <w:color w:val="001950"/>
                <w:sz w:val="21"/>
                <w:szCs w:val="21"/>
              </w:rPr>
              <w:t>Genuine slowdown or statistical quirk?</w:t>
            </w:r>
          </w:p>
          <w:p w:rsidR="002F0579" w:rsidRDefault="002F0579" w:rsidP="003D20A8">
            <w:pPr>
              <w:spacing w:after="120"/>
              <w:jc w:val="both"/>
              <w:rPr>
                <w:rFonts w:eastAsia="Calibri"/>
                <w:color w:val="auto"/>
                <w:spacing w:val="-4"/>
                <w:sz w:val="21"/>
                <w:szCs w:val="21"/>
              </w:rPr>
            </w:pPr>
            <w:r w:rsidRPr="002F0579">
              <w:rPr>
                <w:rFonts w:eastAsia="Calibri"/>
                <w:color w:val="auto"/>
                <w:spacing w:val="-4"/>
                <w:sz w:val="21"/>
                <w:szCs w:val="21"/>
              </w:rPr>
              <w:t xml:space="preserve">Ever since the bankruptcy of Lehman Brothers and subsequent collapse in the world economy in the first quarter of 2008, there has been a suspicion that statisticians have been overcompensating in their seasonal adjustments for the first three months of the year. Bad weather means this is always a slow period compared with the rest of the year so the figures are adjusted upward to compensate. However, one very bad quarter may distort subsequent attempts at adjustment. Consequently we get a false impression of </w:t>
            </w:r>
            <w:r w:rsidR="00417726">
              <w:rPr>
                <w:rFonts w:eastAsia="Calibri"/>
                <w:color w:val="auto"/>
                <w:spacing w:val="-4"/>
                <w:sz w:val="21"/>
                <w:szCs w:val="21"/>
              </w:rPr>
              <w:t>first quarter</w:t>
            </w:r>
            <w:r w:rsidRPr="002F0579">
              <w:rPr>
                <w:rFonts w:eastAsia="Calibri"/>
                <w:color w:val="auto"/>
                <w:spacing w:val="-4"/>
                <w:sz w:val="21"/>
                <w:szCs w:val="21"/>
              </w:rPr>
              <w:t xml:space="preserve"> strength which then unwinds sharply as the seasonal adjustments go into reverse in </w:t>
            </w:r>
            <w:r w:rsidR="00417726">
              <w:rPr>
                <w:rFonts w:eastAsia="Calibri"/>
                <w:color w:val="auto"/>
                <w:spacing w:val="-4"/>
                <w:sz w:val="21"/>
                <w:szCs w:val="21"/>
              </w:rPr>
              <w:t>the second quarter</w:t>
            </w:r>
            <w:r w:rsidRPr="002F0579">
              <w:rPr>
                <w:rFonts w:eastAsia="Calibri"/>
                <w:color w:val="auto"/>
                <w:spacing w:val="-4"/>
                <w:sz w:val="21"/>
                <w:szCs w:val="21"/>
              </w:rPr>
              <w:t xml:space="preserve">. </w:t>
            </w:r>
          </w:p>
          <w:p w:rsidR="002F0579" w:rsidRPr="002F0579" w:rsidRDefault="002F0579" w:rsidP="003D20A8">
            <w:pPr>
              <w:spacing w:after="120"/>
              <w:jc w:val="both"/>
              <w:rPr>
                <w:rFonts w:eastAsia="Calibri"/>
                <w:color w:val="auto"/>
                <w:spacing w:val="-4"/>
                <w:sz w:val="21"/>
                <w:szCs w:val="21"/>
              </w:rPr>
            </w:pPr>
            <w:r w:rsidRPr="002F0579">
              <w:rPr>
                <w:rFonts w:eastAsia="Calibri"/>
                <w:color w:val="auto"/>
                <w:spacing w:val="-4"/>
                <w:sz w:val="21"/>
                <w:szCs w:val="21"/>
              </w:rPr>
              <w:t xml:space="preserve">There is no consensus on this and we can also point to other factors which have distorted the picture. For example, last year an unseasonal mild winter in the US boosted activity in the housing and retail sectors in </w:t>
            </w:r>
            <w:r w:rsidR="00417726">
              <w:rPr>
                <w:rFonts w:eastAsia="Calibri"/>
                <w:color w:val="auto"/>
                <w:spacing w:val="-4"/>
                <w:sz w:val="21"/>
                <w:szCs w:val="21"/>
              </w:rPr>
              <w:t>the first quarter</w:t>
            </w:r>
            <w:r w:rsidRPr="002F0579">
              <w:rPr>
                <w:rFonts w:eastAsia="Calibri"/>
                <w:color w:val="auto"/>
                <w:spacing w:val="-4"/>
                <w:sz w:val="21"/>
                <w:szCs w:val="21"/>
              </w:rPr>
              <w:t>. In 2011, the Japanese earthquake and tsunami disrupted global growth as supply chains broke down in the second quarter. Prior to this, oil and commodity price spikes have also played a role, as has the Euro</w:t>
            </w:r>
            <w:r>
              <w:rPr>
                <w:rFonts w:eastAsia="Calibri"/>
                <w:color w:val="auto"/>
                <w:spacing w:val="-4"/>
                <w:sz w:val="21"/>
                <w:szCs w:val="21"/>
              </w:rPr>
              <w:t xml:space="preserve"> crisis throughout the period. </w:t>
            </w:r>
          </w:p>
          <w:p w:rsidR="002F0579" w:rsidRDefault="002F0579" w:rsidP="003D20A8">
            <w:pPr>
              <w:spacing w:after="120"/>
              <w:jc w:val="both"/>
              <w:rPr>
                <w:rFonts w:eastAsia="Calibri"/>
                <w:color w:val="auto"/>
                <w:spacing w:val="-4"/>
                <w:sz w:val="21"/>
                <w:szCs w:val="21"/>
              </w:rPr>
            </w:pPr>
            <w:r w:rsidRPr="002F0579">
              <w:rPr>
                <w:rFonts w:eastAsia="Calibri"/>
                <w:color w:val="auto"/>
                <w:spacing w:val="-4"/>
                <w:sz w:val="21"/>
                <w:szCs w:val="21"/>
              </w:rPr>
              <w:t xml:space="preserve">This year, the weather has been more “normal”, commodity prices are better behaved and the Euro crisis has not re-erupted (despite a bungled bailout in Cyprus and the </w:t>
            </w:r>
            <w:r w:rsidR="00417726">
              <w:rPr>
                <w:rFonts w:eastAsia="Calibri"/>
                <w:color w:val="auto"/>
                <w:spacing w:val="-4"/>
                <w:sz w:val="21"/>
                <w:szCs w:val="21"/>
              </w:rPr>
              <w:t>uncertainty caused by the</w:t>
            </w:r>
            <w:r w:rsidRPr="002F0579">
              <w:rPr>
                <w:rFonts w:eastAsia="Calibri"/>
                <w:color w:val="auto"/>
                <w:spacing w:val="-4"/>
                <w:sz w:val="21"/>
                <w:szCs w:val="21"/>
              </w:rPr>
              <w:t xml:space="preserve"> Italian elections). Instead, we would see the current slowdown as a consequence o</w:t>
            </w:r>
            <w:r>
              <w:rPr>
                <w:rFonts w:eastAsia="Calibri"/>
                <w:color w:val="auto"/>
                <w:spacing w:val="-4"/>
                <w:sz w:val="21"/>
                <w:szCs w:val="21"/>
              </w:rPr>
              <w:t>f the inventory cycle and</w:t>
            </w:r>
            <w:r w:rsidRPr="002F0579">
              <w:rPr>
                <w:rFonts w:eastAsia="Calibri"/>
                <w:color w:val="auto"/>
                <w:spacing w:val="-4"/>
                <w:sz w:val="21"/>
                <w:szCs w:val="21"/>
              </w:rPr>
              <w:t xml:space="preserve"> tighter fiscal policy in the US against an on-going backdrop of fiscal austerity and bank de-leveraging in Europe.</w:t>
            </w:r>
          </w:p>
          <w:p w:rsidR="002F0579" w:rsidRDefault="002F0579" w:rsidP="003D20A8">
            <w:pPr>
              <w:spacing w:after="120"/>
              <w:jc w:val="both"/>
              <w:rPr>
                <w:rFonts w:eastAsia="Calibri"/>
                <w:color w:val="auto"/>
                <w:spacing w:val="-4"/>
                <w:sz w:val="21"/>
                <w:szCs w:val="21"/>
              </w:rPr>
            </w:pPr>
            <w:r w:rsidRPr="002F0579">
              <w:rPr>
                <w:rFonts w:eastAsia="Calibri"/>
                <w:color w:val="auto"/>
                <w:spacing w:val="-4"/>
                <w:sz w:val="21"/>
                <w:szCs w:val="21"/>
              </w:rPr>
              <w:t xml:space="preserve">The inventory cycle picked up at the end of last year </w:t>
            </w:r>
            <w:r w:rsidR="009F1552">
              <w:rPr>
                <w:rFonts w:eastAsia="Calibri"/>
                <w:color w:val="auto"/>
                <w:spacing w:val="-4"/>
                <w:sz w:val="21"/>
                <w:szCs w:val="21"/>
              </w:rPr>
              <w:t>when</w:t>
            </w:r>
            <w:r w:rsidRPr="002F0579">
              <w:rPr>
                <w:rFonts w:eastAsia="Calibri"/>
                <w:color w:val="auto"/>
                <w:spacing w:val="-4"/>
                <w:sz w:val="21"/>
                <w:szCs w:val="21"/>
              </w:rPr>
              <w:t xml:space="preserve"> firms realised that the tail risks of a Euro break up or hard landing in China were not going to materialise</w:t>
            </w:r>
            <w:r w:rsidR="00E31044">
              <w:rPr>
                <w:rFonts w:eastAsia="Calibri"/>
                <w:color w:val="auto"/>
                <w:spacing w:val="-4"/>
                <w:sz w:val="21"/>
                <w:szCs w:val="21"/>
              </w:rPr>
              <w:t>,</w:t>
            </w:r>
            <w:r w:rsidRPr="002F0579">
              <w:rPr>
                <w:rFonts w:eastAsia="Calibri"/>
                <w:color w:val="auto"/>
                <w:spacing w:val="-4"/>
                <w:sz w:val="21"/>
                <w:szCs w:val="21"/>
              </w:rPr>
              <w:t xml:space="preserve"> as central banks stepped up policy support. As we entered 2013</w:t>
            </w:r>
            <w:r w:rsidR="00E31044">
              <w:rPr>
                <w:rFonts w:eastAsia="Calibri"/>
                <w:color w:val="auto"/>
                <w:spacing w:val="-4"/>
                <w:sz w:val="21"/>
                <w:szCs w:val="21"/>
              </w:rPr>
              <w:t>,</w:t>
            </w:r>
            <w:r w:rsidRPr="002F0579">
              <w:rPr>
                <w:rFonts w:eastAsia="Calibri"/>
                <w:color w:val="auto"/>
                <w:spacing w:val="-4"/>
                <w:sz w:val="21"/>
                <w:szCs w:val="21"/>
              </w:rPr>
              <w:t xml:space="preserve"> it also became clear that the US was not about to commit fiscal suicide by going over the cliff. Consequently as demand held up, firms had to increase production to boost inventory levels. The PMI figures suggest this effect has now played out.    </w:t>
            </w:r>
          </w:p>
          <w:p w:rsidR="002F0579" w:rsidRDefault="002F0579" w:rsidP="00CC67E6">
            <w:pPr>
              <w:spacing w:before="240" w:after="120"/>
              <w:jc w:val="both"/>
              <w:rPr>
                <w:rFonts w:cs="Arial"/>
                <w:b/>
                <w:bCs/>
                <w:color w:val="001950"/>
                <w:sz w:val="21"/>
                <w:szCs w:val="21"/>
              </w:rPr>
            </w:pPr>
            <w:r w:rsidRPr="002F0579">
              <w:rPr>
                <w:rFonts w:cs="Arial"/>
                <w:b/>
                <w:bCs/>
                <w:color w:val="001950"/>
                <w:sz w:val="21"/>
                <w:szCs w:val="21"/>
              </w:rPr>
              <w:t xml:space="preserve">The US avoided </w:t>
            </w:r>
            <w:r w:rsidR="00E31044">
              <w:rPr>
                <w:rFonts w:cs="Arial"/>
                <w:b/>
                <w:bCs/>
                <w:color w:val="001950"/>
                <w:sz w:val="21"/>
                <w:szCs w:val="21"/>
              </w:rPr>
              <w:t xml:space="preserve">the </w:t>
            </w:r>
            <w:r w:rsidRPr="002F0579">
              <w:rPr>
                <w:rFonts w:cs="Arial"/>
                <w:b/>
                <w:bCs/>
                <w:color w:val="001950"/>
                <w:sz w:val="21"/>
                <w:szCs w:val="21"/>
              </w:rPr>
              <w:t xml:space="preserve">fiscal cliff, </w:t>
            </w:r>
            <w:r w:rsidR="00E31044">
              <w:rPr>
                <w:rFonts w:cs="Arial"/>
                <w:b/>
                <w:bCs/>
                <w:color w:val="001950"/>
                <w:sz w:val="21"/>
                <w:szCs w:val="21"/>
              </w:rPr>
              <w:t xml:space="preserve">but </w:t>
            </w:r>
            <w:r w:rsidRPr="002F0579">
              <w:rPr>
                <w:rFonts w:cs="Arial"/>
                <w:b/>
                <w:bCs/>
                <w:color w:val="001950"/>
                <w:sz w:val="21"/>
                <w:szCs w:val="21"/>
              </w:rPr>
              <w:t>not fiscal tightening</w:t>
            </w:r>
          </w:p>
          <w:p w:rsidR="002F0579" w:rsidRDefault="002F0579" w:rsidP="003D20A8">
            <w:pPr>
              <w:spacing w:after="120"/>
              <w:jc w:val="both"/>
              <w:rPr>
                <w:rFonts w:eastAsia="Calibri"/>
                <w:color w:val="auto"/>
                <w:spacing w:val="-4"/>
                <w:sz w:val="21"/>
                <w:szCs w:val="21"/>
              </w:rPr>
            </w:pPr>
            <w:r w:rsidRPr="002F0579">
              <w:rPr>
                <w:rFonts w:eastAsia="Calibri"/>
                <w:color w:val="auto"/>
                <w:spacing w:val="-4"/>
                <w:sz w:val="21"/>
                <w:szCs w:val="21"/>
              </w:rPr>
              <w:t>On the US fiscal front, although the worst was not realised, taxes still rose by around 1%</w:t>
            </w:r>
            <w:r w:rsidR="00E31044">
              <w:rPr>
                <w:rFonts w:eastAsia="Calibri"/>
                <w:color w:val="auto"/>
                <w:spacing w:val="-4"/>
                <w:sz w:val="21"/>
                <w:szCs w:val="21"/>
              </w:rPr>
              <w:t xml:space="preserve"> of GDP</w:t>
            </w:r>
            <w:r w:rsidRPr="002F0579">
              <w:rPr>
                <w:rFonts w:eastAsia="Calibri"/>
                <w:color w:val="auto"/>
                <w:spacing w:val="-4"/>
                <w:sz w:val="21"/>
                <w:szCs w:val="21"/>
              </w:rPr>
              <w:t>, primarily on wage earners. The initial reaction suggested that spending had withstood t</w:t>
            </w:r>
            <w:r w:rsidR="00084929">
              <w:rPr>
                <w:rFonts w:eastAsia="Calibri"/>
                <w:color w:val="auto"/>
                <w:spacing w:val="-4"/>
                <w:sz w:val="21"/>
                <w:szCs w:val="21"/>
              </w:rPr>
              <w:t>he hit as consumption held up over the first quarter</w:t>
            </w:r>
            <w:r w:rsidRPr="002F0579">
              <w:rPr>
                <w:rFonts w:eastAsia="Calibri"/>
                <w:color w:val="auto"/>
                <w:spacing w:val="-4"/>
                <w:sz w:val="21"/>
                <w:szCs w:val="21"/>
              </w:rPr>
              <w:t xml:space="preserve">. However, this was only achieved through a sharp fall in the household savings ratio and the signs are that consumers are now </w:t>
            </w:r>
            <w:r w:rsidR="00C0002E" w:rsidRPr="002F0579">
              <w:rPr>
                <w:rFonts w:eastAsia="Calibri"/>
                <w:color w:val="auto"/>
                <w:spacing w:val="-4"/>
                <w:sz w:val="21"/>
                <w:szCs w:val="21"/>
              </w:rPr>
              <w:t>bringing</w:t>
            </w:r>
            <w:r w:rsidRPr="002F0579">
              <w:rPr>
                <w:rFonts w:eastAsia="Calibri"/>
                <w:color w:val="auto"/>
                <w:spacing w:val="-4"/>
                <w:sz w:val="21"/>
                <w:szCs w:val="21"/>
              </w:rPr>
              <w:t xml:space="preserve"> spending back into line with disposable income (chart</w:t>
            </w:r>
            <w:r w:rsidR="00CC67E6">
              <w:rPr>
                <w:rFonts w:eastAsia="Calibri"/>
                <w:color w:val="auto"/>
                <w:spacing w:val="-4"/>
                <w:sz w:val="21"/>
                <w:szCs w:val="21"/>
              </w:rPr>
              <w:t>s</w:t>
            </w:r>
            <w:r w:rsidRPr="002F0579">
              <w:rPr>
                <w:rFonts w:eastAsia="Calibri"/>
                <w:color w:val="auto"/>
                <w:spacing w:val="-4"/>
                <w:sz w:val="21"/>
                <w:szCs w:val="21"/>
              </w:rPr>
              <w:t xml:space="preserve"> 3</w:t>
            </w:r>
            <w:r w:rsidR="00CC67E6">
              <w:rPr>
                <w:rFonts w:eastAsia="Calibri"/>
                <w:color w:val="auto"/>
                <w:spacing w:val="-4"/>
                <w:sz w:val="21"/>
                <w:szCs w:val="21"/>
              </w:rPr>
              <w:t xml:space="preserve"> &amp; 4 on next page</w:t>
            </w:r>
            <w:r w:rsidRPr="002F0579">
              <w:rPr>
                <w:rFonts w:eastAsia="Calibri"/>
                <w:color w:val="auto"/>
                <w:spacing w:val="-4"/>
                <w:sz w:val="21"/>
                <w:szCs w:val="21"/>
              </w:rPr>
              <w:t xml:space="preserve">). </w:t>
            </w:r>
          </w:p>
          <w:p w:rsidR="00CC67E6" w:rsidRDefault="00CC67E6" w:rsidP="00CC67E6">
            <w:pPr>
              <w:spacing w:after="120"/>
              <w:jc w:val="both"/>
              <w:rPr>
                <w:rFonts w:eastAsia="Calibri"/>
                <w:color w:val="auto"/>
                <w:spacing w:val="-4"/>
                <w:sz w:val="21"/>
                <w:szCs w:val="21"/>
              </w:rPr>
            </w:pPr>
            <w:r w:rsidRPr="003D20A8">
              <w:rPr>
                <w:rFonts w:eastAsia="Calibri"/>
                <w:color w:val="auto"/>
                <w:spacing w:val="-4"/>
                <w:sz w:val="21"/>
                <w:szCs w:val="21"/>
              </w:rPr>
              <w:t xml:space="preserve">In addition we have had the sequester kick in from March 1st bringing sharp cuts in defence and welfare spending. There will be cuts in public employment and defence orders as a result. Although we do not expect total job losses to meet the 750k predicted by the Congressional Budget Office (CBO), the non-farm payroll figures could still see a loss of 30k jobs per month. </w:t>
            </w:r>
          </w:p>
          <w:p w:rsidR="00CC67E6" w:rsidRDefault="00CC67E6" w:rsidP="003D20A8">
            <w:pPr>
              <w:spacing w:after="120"/>
              <w:jc w:val="both"/>
              <w:rPr>
                <w:rFonts w:eastAsia="Calibri"/>
                <w:color w:val="auto"/>
                <w:spacing w:val="-4"/>
                <w:sz w:val="21"/>
                <w:szCs w:val="21"/>
              </w:rPr>
            </w:pPr>
          </w:p>
          <w:p w:rsidR="00CC67E6" w:rsidRDefault="00CC67E6" w:rsidP="003D20A8">
            <w:pPr>
              <w:spacing w:after="120"/>
              <w:jc w:val="both"/>
              <w:rPr>
                <w:rFonts w:eastAsia="Calibri"/>
                <w:color w:val="auto"/>
                <w:spacing w:val="-4"/>
                <w:sz w:val="21"/>
                <w:szCs w:val="21"/>
              </w:rPr>
            </w:pPr>
          </w:p>
          <w:p w:rsidR="00CC67E6" w:rsidRDefault="00CC67E6" w:rsidP="003D20A8">
            <w:pPr>
              <w:spacing w:after="120"/>
              <w:jc w:val="both"/>
              <w:rPr>
                <w:rFonts w:eastAsia="Calibri"/>
                <w:color w:val="auto"/>
                <w:spacing w:val="-4"/>
                <w:sz w:val="21"/>
                <w:szCs w:val="21"/>
              </w:rPr>
            </w:pPr>
          </w:p>
          <w:p w:rsidR="00CC67E6" w:rsidRDefault="00CC67E6" w:rsidP="003D20A8">
            <w:pPr>
              <w:spacing w:after="120"/>
              <w:jc w:val="both"/>
              <w:rPr>
                <w:rFonts w:eastAsia="Calibri"/>
                <w:color w:val="auto"/>
                <w:spacing w:val="-4"/>
                <w:sz w:val="21"/>
                <w:szCs w:val="21"/>
              </w:rPr>
            </w:pPr>
          </w:p>
          <w:p w:rsidR="00CC67E6" w:rsidRDefault="00CC67E6" w:rsidP="003D20A8">
            <w:pPr>
              <w:spacing w:after="120"/>
              <w:jc w:val="both"/>
              <w:rPr>
                <w:rFonts w:eastAsia="Calibri"/>
                <w:color w:val="auto"/>
                <w:spacing w:val="-4"/>
                <w:sz w:val="21"/>
                <w:szCs w:val="21"/>
              </w:rPr>
            </w:pPr>
          </w:p>
          <w:p w:rsidR="00CC67E6" w:rsidRDefault="00CC67E6" w:rsidP="003D20A8">
            <w:pPr>
              <w:spacing w:after="120"/>
              <w:jc w:val="both"/>
              <w:rPr>
                <w:rFonts w:eastAsia="Calibri"/>
                <w:color w:val="auto"/>
                <w:spacing w:val="-4"/>
                <w:sz w:val="21"/>
                <w:szCs w:val="21"/>
              </w:rPr>
            </w:pPr>
          </w:p>
          <w:p w:rsidR="00CC67E6" w:rsidRDefault="00CC67E6" w:rsidP="003D20A8">
            <w:pPr>
              <w:spacing w:after="120"/>
              <w:jc w:val="both"/>
              <w:rPr>
                <w:rFonts w:eastAsia="Calibri"/>
                <w:color w:val="auto"/>
                <w:spacing w:val="-4"/>
                <w:sz w:val="21"/>
                <w:szCs w:val="21"/>
              </w:rPr>
            </w:pPr>
          </w:p>
          <w:p w:rsidR="00B34B2D" w:rsidRPr="008F4501" w:rsidRDefault="00B34B2D" w:rsidP="008F4501">
            <w:pPr>
              <w:spacing w:before="120"/>
              <w:jc w:val="both"/>
              <w:rPr>
                <w:sz w:val="21"/>
                <w:szCs w:val="21"/>
              </w:rPr>
            </w:pPr>
            <w:r w:rsidRPr="008F4501">
              <w:rPr>
                <w:rFonts w:cs="Arial"/>
                <w:b/>
                <w:bCs/>
                <w:color w:val="001950"/>
                <w:sz w:val="21"/>
                <w:szCs w:val="21"/>
              </w:rPr>
              <w:lastRenderedPageBreak/>
              <w:t>C</w:t>
            </w:r>
            <w:r w:rsidR="00DE2304" w:rsidRPr="008F4501">
              <w:rPr>
                <w:rFonts w:cs="Arial"/>
                <w:b/>
                <w:bCs/>
                <w:color w:val="001950"/>
                <w:sz w:val="21"/>
                <w:szCs w:val="21"/>
              </w:rPr>
              <w:t>hart</w:t>
            </w:r>
            <w:r w:rsidR="005B3CAC">
              <w:rPr>
                <w:rFonts w:cs="Arial"/>
                <w:b/>
                <w:bCs/>
                <w:color w:val="001950"/>
                <w:sz w:val="21"/>
                <w:szCs w:val="21"/>
              </w:rPr>
              <w:t>s</w:t>
            </w:r>
            <w:r w:rsidR="00960AE3" w:rsidRPr="008F4501">
              <w:rPr>
                <w:rFonts w:cs="Arial"/>
                <w:b/>
                <w:bCs/>
                <w:color w:val="001950"/>
                <w:sz w:val="21"/>
                <w:szCs w:val="21"/>
              </w:rPr>
              <w:t xml:space="preserve"> 3</w:t>
            </w:r>
            <w:r w:rsidR="005B3CAC">
              <w:rPr>
                <w:rFonts w:cs="Arial"/>
                <w:b/>
                <w:bCs/>
                <w:color w:val="001950"/>
                <w:sz w:val="21"/>
                <w:szCs w:val="21"/>
              </w:rPr>
              <w:t xml:space="preserve"> &amp; 4</w:t>
            </w:r>
            <w:r w:rsidR="00960AE3" w:rsidRPr="008F4501">
              <w:rPr>
                <w:rFonts w:cs="Arial"/>
                <w:b/>
                <w:bCs/>
                <w:color w:val="001950"/>
                <w:sz w:val="21"/>
                <w:szCs w:val="21"/>
              </w:rPr>
              <w:t>:</w:t>
            </w:r>
            <w:r w:rsidR="00B33992" w:rsidRPr="008F4501">
              <w:rPr>
                <w:rFonts w:cs="Arial"/>
                <w:b/>
                <w:bCs/>
                <w:color w:val="001950"/>
                <w:sz w:val="21"/>
                <w:szCs w:val="21"/>
              </w:rPr>
              <w:t xml:space="preserve"> </w:t>
            </w:r>
            <w:r w:rsidR="005B3CAC" w:rsidRPr="005B3CAC">
              <w:rPr>
                <w:rFonts w:cs="Arial"/>
                <w:b/>
                <w:bCs/>
                <w:color w:val="001950"/>
                <w:sz w:val="21"/>
                <w:szCs w:val="21"/>
              </w:rPr>
              <w:t xml:space="preserve">US savings rate </w:t>
            </w:r>
            <w:r w:rsidR="005B3CAC">
              <w:rPr>
                <w:rFonts w:cs="Arial"/>
                <w:b/>
                <w:bCs/>
                <w:color w:val="001950"/>
                <w:sz w:val="21"/>
                <w:szCs w:val="21"/>
              </w:rPr>
              <w:t>&amp;</w:t>
            </w:r>
            <w:r w:rsidR="005B3CAC" w:rsidRPr="005B3CAC">
              <w:rPr>
                <w:rFonts w:cs="Arial"/>
                <w:b/>
                <w:bCs/>
                <w:color w:val="001950"/>
                <w:sz w:val="21"/>
                <w:szCs w:val="21"/>
              </w:rPr>
              <w:t xml:space="preserve"> disposable income and spending</w:t>
            </w:r>
          </w:p>
          <w:p w:rsidR="00B34B2D" w:rsidRPr="00677B5D" w:rsidRDefault="00295A04" w:rsidP="008F4501">
            <w:pPr>
              <w:jc w:val="both"/>
              <w:rPr>
                <w:spacing w:val="-2"/>
                <w:sz w:val="21"/>
                <w:szCs w:val="21"/>
              </w:rPr>
            </w:pPr>
            <w:r>
              <w:rPr>
                <w:noProof/>
                <w:spacing w:val="-2"/>
                <w:sz w:val="21"/>
                <w:szCs w:val="21"/>
                <w:lang w:val="pt-PT" w:eastAsia="pt-PT"/>
              </w:rPr>
              <w:drawing>
                <wp:inline distT="0" distB="0" distL="0" distR="0">
                  <wp:extent cx="4947285" cy="2538095"/>
                  <wp:effectExtent l="1905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947285" cy="2538095"/>
                          </a:xfrm>
                          <a:prstGeom prst="rect">
                            <a:avLst/>
                          </a:prstGeom>
                          <a:noFill/>
                          <a:ln w="9525">
                            <a:noFill/>
                            <a:miter lim="800000"/>
                            <a:headEnd/>
                            <a:tailEnd/>
                          </a:ln>
                        </pic:spPr>
                      </pic:pic>
                    </a:graphicData>
                  </a:graphic>
                </wp:inline>
              </w:drawing>
            </w:r>
          </w:p>
          <w:p w:rsidR="00B34B2D" w:rsidRDefault="00E505BA" w:rsidP="008F4501">
            <w:pPr>
              <w:spacing w:after="80"/>
              <w:jc w:val="both"/>
              <w:rPr>
                <w:rFonts w:cs="Arial"/>
                <w:color w:val="808080"/>
                <w:sz w:val="18"/>
                <w:lang w:eastAsia="en-GB"/>
              </w:rPr>
            </w:pPr>
            <w:r w:rsidRPr="009A7BD2">
              <w:rPr>
                <w:rFonts w:cs="Arial"/>
                <w:color w:val="808080"/>
                <w:sz w:val="18"/>
                <w:lang w:eastAsia="en-GB"/>
              </w:rPr>
              <w:t>S</w:t>
            </w:r>
            <w:r w:rsidR="00C63336" w:rsidRPr="009A7BD2">
              <w:rPr>
                <w:rFonts w:cs="Arial"/>
                <w:color w:val="808080"/>
                <w:sz w:val="18"/>
                <w:lang w:eastAsia="en-GB"/>
              </w:rPr>
              <w:t xml:space="preserve">ource: </w:t>
            </w:r>
            <w:r w:rsidR="009A7BD2">
              <w:rPr>
                <w:rFonts w:cs="Arial"/>
                <w:color w:val="808080"/>
                <w:sz w:val="18"/>
                <w:lang w:eastAsia="en-GB"/>
              </w:rPr>
              <w:t>Thomson Datastream</w:t>
            </w:r>
            <w:r w:rsidR="00545C2C">
              <w:rPr>
                <w:rFonts w:cs="Arial"/>
                <w:color w:val="808080"/>
                <w:sz w:val="18"/>
                <w:lang w:eastAsia="en-GB"/>
              </w:rPr>
              <w:t>, Schroders</w:t>
            </w:r>
            <w:r w:rsidR="009A7BD2">
              <w:rPr>
                <w:rFonts w:cs="Arial"/>
                <w:color w:val="808080"/>
                <w:sz w:val="18"/>
                <w:lang w:eastAsia="en-GB"/>
              </w:rPr>
              <w:t xml:space="preserve">.  </w:t>
            </w:r>
            <w:r w:rsidR="00DE2380">
              <w:rPr>
                <w:rFonts w:cs="Arial"/>
                <w:color w:val="808080"/>
                <w:sz w:val="18"/>
                <w:lang w:eastAsia="en-GB"/>
              </w:rPr>
              <w:t>2</w:t>
            </w:r>
            <w:r w:rsidR="005B3CAC">
              <w:rPr>
                <w:rFonts w:cs="Arial"/>
                <w:color w:val="808080"/>
                <w:sz w:val="18"/>
                <w:lang w:eastAsia="en-GB"/>
              </w:rPr>
              <w:t>6</w:t>
            </w:r>
            <w:r w:rsidR="00DE2380">
              <w:rPr>
                <w:rFonts w:cs="Arial"/>
                <w:color w:val="808080"/>
                <w:sz w:val="18"/>
                <w:lang w:eastAsia="en-GB"/>
              </w:rPr>
              <w:t xml:space="preserve"> </w:t>
            </w:r>
            <w:r w:rsidR="005B3CAC">
              <w:rPr>
                <w:rFonts w:cs="Arial"/>
                <w:color w:val="808080"/>
                <w:sz w:val="18"/>
                <w:lang w:eastAsia="en-GB"/>
              </w:rPr>
              <w:t>April</w:t>
            </w:r>
            <w:r w:rsidR="00C63336">
              <w:rPr>
                <w:rFonts w:cs="Arial"/>
                <w:color w:val="808080"/>
                <w:sz w:val="18"/>
                <w:lang w:eastAsia="en-GB"/>
              </w:rPr>
              <w:t xml:space="preserve"> 2013</w:t>
            </w:r>
          </w:p>
          <w:p w:rsidR="003D20A8" w:rsidRDefault="003D20A8" w:rsidP="003D20A8">
            <w:pPr>
              <w:spacing w:after="120"/>
              <w:jc w:val="both"/>
              <w:rPr>
                <w:rFonts w:eastAsia="Calibri"/>
                <w:color w:val="auto"/>
                <w:spacing w:val="-4"/>
                <w:sz w:val="21"/>
                <w:szCs w:val="21"/>
              </w:rPr>
            </w:pPr>
            <w:r w:rsidRPr="003D20A8">
              <w:rPr>
                <w:rFonts w:eastAsia="Calibri"/>
                <w:color w:val="auto"/>
                <w:spacing w:val="-4"/>
                <w:sz w:val="21"/>
                <w:szCs w:val="21"/>
              </w:rPr>
              <w:t xml:space="preserve">So a combination of a turn in the inventory cycle and the lagged impact of tighter fiscal policy in the US will cool global activity in the current quarter. In terms of our US GDP forecast we have growth roughly halving to 1.6% (q/q annualised) after </w:t>
            </w:r>
            <w:r w:rsidR="00C37529">
              <w:rPr>
                <w:rFonts w:eastAsia="Calibri"/>
                <w:color w:val="auto"/>
                <w:spacing w:val="-4"/>
                <w:sz w:val="21"/>
                <w:szCs w:val="21"/>
              </w:rPr>
              <w:t>2.5</w:t>
            </w:r>
            <w:r w:rsidRPr="003D20A8">
              <w:rPr>
                <w:rFonts w:eastAsia="Calibri"/>
                <w:color w:val="auto"/>
                <w:spacing w:val="-4"/>
                <w:sz w:val="21"/>
                <w:szCs w:val="21"/>
              </w:rPr>
              <w:t>% in the first quarter.</w:t>
            </w:r>
          </w:p>
          <w:p w:rsidR="003D20A8" w:rsidRPr="003D20A8" w:rsidRDefault="003D20A8" w:rsidP="003D20A8">
            <w:pPr>
              <w:spacing w:before="240" w:after="120"/>
              <w:jc w:val="both"/>
              <w:rPr>
                <w:rFonts w:eastAsia="Calibri"/>
                <w:color w:val="auto"/>
                <w:spacing w:val="-4"/>
                <w:sz w:val="21"/>
                <w:szCs w:val="21"/>
              </w:rPr>
            </w:pPr>
            <w:r w:rsidRPr="003D20A8">
              <w:rPr>
                <w:rFonts w:cs="Arial"/>
                <w:b/>
                <w:bCs/>
                <w:color w:val="001950"/>
                <w:sz w:val="21"/>
                <w:szCs w:val="21"/>
              </w:rPr>
              <w:t>Will slower growth end the rally in equity markets?</w:t>
            </w:r>
          </w:p>
          <w:p w:rsidR="003D20A8" w:rsidRPr="003D20A8" w:rsidRDefault="00E31044" w:rsidP="003D20A8">
            <w:pPr>
              <w:spacing w:after="120"/>
              <w:jc w:val="both"/>
              <w:rPr>
                <w:rFonts w:eastAsia="Calibri"/>
                <w:color w:val="auto"/>
                <w:spacing w:val="-4"/>
                <w:sz w:val="21"/>
                <w:szCs w:val="21"/>
              </w:rPr>
            </w:pPr>
            <w:r>
              <w:rPr>
                <w:rFonts w:eastAsia="Calibri"/>
                <w:color w:val="auto"/>
                <w:spacing w:val="-4"/>
                <w:sz w:val="21"/>
                <w:szCs w:val="21"/>
              </w:rPr>
              <w:t>D</w:t>
            </w:r>
            <w:r w:rsidR="003D20A8" w:rsidRPr="003D20A8">
              <w:rPr>
                <w:rFonts w:eastAsia="Calibri"/>
                <w:color w:val="auto"/>
                <w:spacing w:val="-4"/>
                <w:sz w:val="21"/>
                <w:szCs w:val="21"/>
              </w:rPr>
              <w:t xml:space="preserve">espite the increasing signs of slower activity, equity markets and risk assets generally continue to rally. It is possible that the signs of slowdown have yet to percolate through to investors and that we are heading for a significant correction later in the quarter as this becomes apparent. Alternatively, investors may be simply looking through the current weakness and taking the view that the US is on the road to recovery having made considerable progress in de-leveraging and restoring the health of its banking system. From this perspective, the recent data heralds a soft patch rather than the start of a new recession or slump. </w:t>
            </w:r>
          </w:p>
          <w:p w:rsidR="003D20A8" w:rsidRPr="003D20A8" w:rsidRDefault="003D20A8" w:rsidP="003D20A8">
            <w:pPr>
              <w:spacing w:after="120"/>
              <w:jc w:val="both"/>
              <w:rPr>
                <w:rFonts w:eastAsia="Calibri"/>
                <w:color w:val="auto"/>
                <w:spacing w:val="-4"/>
                <w:sz w:val="21"/>
                <w:szCs w:val="21"/>
              </w:rPr>
            </w:pPr>
            <w:r w:rsidRPr="003D20A8">
              <w:rPr>
                <w:rFonts w:eastAsia="Calibri"/>
                <w:color w:val="auto"/>
                <w:spacing w:val="-4"/>
                <w:sz w:val="21"/>
                <w:szCs w:val="21"/>
              </w:rPr>
              <w:t xml:space="preserve">This would be in line with our macro view where we see the US economy picking up pace again in the second half of the year. Growth can head back toward 3% as we still see scope for an improvement in the cyclical components of activity such as housing and autos, which remain depressed by historic standards. News that issuance of sub-prime auto loan securities are booming (up 60% y/y in the first quarter according to the Financial Times) supports this forecast. </w:t>
            </w:r>
          </w:p>
          <w:p w:rsidR="006621D0" w:rsidRPr="003D20A8" w:rsidRDefault="003D20A8" w:rsidP="003D20A8">
            <w:pPr>
              <w:spacing w:before="240" w:after="120"/>
              <w:jc w:val="both"/>
              <w:rPr>
                <w:rFonts w:cs="Arial"/>
                <w:b/>
                <w:bCs/>
                <w:color w:val="001950"/>
                <w:sz w:val="21"/>
                <w:szCs w:val="21"/>
              </w:rPr>
            </w:pPr>
            <w:r w:rsidRPr="003D20A8">
              <w:rPr>
                <w:rFonts w:cs="Arial"/>
                <w:b/>
                <w:bCs/>
                <w:color w:val="001950"/>
                <w:sz w:val="21"/>
                <w:szCs w:val="21"/>
              </w:rPr>
              <w:t>A three speed world economy</w:t>
            </w:r>
          </w:p>
          <w:p w:rsidR="003D20A8" w:rsidRPr="003D20A8" w:rsidRDefault="00E31044" w:rsidP="003D20A8">
            <w:pPr>
              <w:spacing w:after="120"/>
              <w:jc w:val="both"/>
              <w:rPr>
                <w:rFonts w:eastAsia="Calibri"/>
                <w:color w:val="auto"/>
                <w:spacing w:val="-4"/>
                <w:sz w:val="21"/>
                <w:szCs w:val="21"/>
              </w:rPr>
            </w:pPr>
            <w:r>
              <w:rPr>
                <w:rFonts w:eastAsia="Calibri"/>
                <w:color w:val="auto"/>
                <w:spacing w:val="-4"/>
                <w:sz w:val="21"/>
                <w:szCs w:val="21"/>
              </w:rPr>
              <w:t>W</w:t>
            </w:r>
            <w:r w:rsidR="003D20A8" w:rsidRPr="003D20A8">
              <w:rPr>
                <w:rFonts w:eastAsia="Calibri"/>
                <w:color w:val="auto"/>
                <w:spacing w:val="-4"/>
                <w:sz w:val="21"/>
                <w:szCs w:val="21"/>
              </w:rPr>
              <w:t>hilst the idea of looking through the soft patch is consist</w:t>
            </w:r>
            <w:r w:rsidR="003D20A8">
              <w:rPr>
                <w:rFonts w:eastAsia="Calibri"/>
                <w:color w:val="auto"/>
                <w:spacing w:val="-4"/>
                <w:sz w:val="21"/>
                <w:szCs w:val="21"/>
              </w:rPr>
              <w:t>ent with our own view of the US</w:t>
            </w:r>
            <w:r w:rsidR="003D20A8" w:rsidRPr="003D20A8">
              <w:rPr>
                <w:rFonts w:eastAsia="Calibri"/>
                <w:color w:val="auto"/>
                <w:spacing w:val="-4"/>
                <w:sz w:val="21"/>
                <w:szCs w:val="21"/>
              </w:rPr>
              <w:t>, it does not tie in completely with the wider global story. For example, we are less optimistic about Europe. More policy stimulus is needed as there is little sign that the easing of financial conditions since last summer has fed through to stronger lending activity</w:t>
            </w:r>
            <w:r w:rsidR="00CC67E6">
              <w:rPr>
                <w:rFonts w:eastAsia="Calibri"/>
                <w:color w:val="auto"/>
                <w:spacing w:val="-4"/>
                <w:sz w:val="21"/>
                <w:szCs w:val="21"/>
              </w:rPr>
              <w:t xml:space="preserve"> and growth</w:t>
            </w:r>
            <w:r w:rsidR="003D20A8" w:rsidRPr="003D20A8">
              <w:rPr>
                <w:rFonts w:eastAsia="Calibri"/>
                <w:color w:val="auto"/>
                <w:spacing w:val="-4"/>
                <w:sz w:val="21"/>
                <w:szCs w:val="21"/>
              </w:rPr>
              <w:t>. In the emerging markets, growth is still good by developed</w:t>
            </w:r>
            <w:r w:rsidR="00CC67E6">
              <w:rPr>
                <w:rFonts w:eastAsia="Calibri"/>
                <w:color w:val="auto"/>
                <w:spacing w:val="-4"/>
                <w:sz w:val="21"/>
                <w:szCs w:val="21"/>
              </w:rPr>
              <w:t xml:space="preserve"> world</w:t>
            </w:r>
            <w:r w:rsidR="003D20A8" w:rsidRPr="003D20A8">
              <w:rPr>
                <w:rFonts w:eastAsia="Calibri"/>
                <w:color w:val="auto"/>
                <w:spacing w:val="-4"/>
                <w:sz w:val="21"/>
                <w:szCs w:val="21"/>
              </w:rPr>
              <w:t xml:space="preserve"> standards, but there has been a pick-up in inflationary pressure and policy makers are considering tighter monetary policy. Brazil has already raised its policy rate and slower growth seems in prospect.</w:t>
            </w:r>
          </w:p>
          <w:p w:rsidR="00A37392" w:rsidRDefault="003D20A8" w:rsidP="003D20A8">
            <w:pPr>
              <w:spacing w:after="120"/>
              <w:jc w:val="both"/>
              <w:rPr>
                <w:rFonts w:eastAsia="Calibri"/>
                <w:color w:val="auto"/>
                <w:spacing w:val="-4"/>
                <w:sz w:val="21"/>
                <w:szCs w:val="21"/>
              </w:rPr>
            </w:pPr>
            <w:r w:rsidRPr="003D20A8">
              <w:rPr>
                <w:rFonts w:eastAsia="Calibri"/>
                <w:color w:val="auto"/>
                <w:spacing w:val="-4"/>
                <w:sz w:val="21"/>
                <w:szCs w:val="21"/>
              </w:rPr>
              <w:t xml:space="preserve">The three speed world has become a feature of the world economy with the emerging world still enjoying the strongest growth, the US recovering and Europe stagnating. </w:t>
            </w:r>
          </w:p>
          <w:p w:rsidR="003D20A8" w:rsidRPr="003D20A8" w:rsidRDefault="003D20A8" w:rsidP="003D20A8">
            <w:pPr>
              <w:spacing w:after="120"/>
              <w:jc w:val="both"/>
              <w:rPr>
                <w:rFonts w:eastAsia="Calibri"/>
                <w:color w:val="auto"/>
                <w:spacing w:val="-4"/>
                <w:sz w:val="21"/>
                <w:szCs w:val="21"/>
              </w:rPr>
            </w:pPr>
            <w:r w:rsidRPr="003D20A8">
              <w:rPr>
                <w:rFonts w:eastAsia="Calibri"/>
                <w:color w:val="auto"/>
                <w:spacing w:val="-4"/>
                <w:sz w:val="21"/>
                <w:szCs w:val="21"/>
              </w:rPr>
              <w:t xml:space="preserve">To some extent the equity markets are reflecting this picture. The emerging equity markets are lagging the US in terms of performance. And from a multi-asset perspective we have seen the rise in risk assets accompanied by a rally in government bonds (see global equity and bond yield chart front page). Such a combination is relatively unusual as equity and bond markets tend to have been negatively correlated for much of the </w:t>
            </w:r>
            <w:r w:rsidRPr="003D20A8">
              <w:rPr>
                <w:rFonts w:eastAsia="Calibri"/>
                <w:color w:val="auto"/>
                <w:spacing w:val="-4"/>
                <w:sz w:val="21"/>
                <w:szCs w:val="21"/>
              </w:rPr>
              <w:lastRenderedPageBreak/>
              <w:t xml:space="preserve">post crisis era as growth expectations have waxed and waned (i.e. rising growth expectations have been accompanied by rising equity markets and falling bond prices/ rising yields). </w:t>
            </w:r>
          </w:p>
          <w:p w:rsidR="00E8506C" w:rsidRPr="00E8506C" w:rsidRDefault="00CC67E6" w:rsidP="00E8506C">
            <w:pPr>
              <w:spacing w:after="120"/>
              <w:jc w:val="both"/>
              <w:rPr>
                <w:rFonts w:eastAsia="Calibri"/>
                <w:color w:val="auto"/>
                <w:spacing w:val="-4"/>
                <w:sz w:val="21"/>
                <w:szCs w:val="21"/>
              </w:rPr>
            </w:pPr>
            <w:r>
              <w:rPr>
                <w:rFonts w:eastAsia="Calibri"/>
                <w:color w:val="auto"/>
                <w:spacing w:val="-4"/>
                <w:sz w:val="21"/>
                <w:szCs w:val="21"/>
              </w:rPr>
              <w:t>This pattern of market behaviour suggests</w:t>
            </w:r>
            <w:r w:rsidR="00E8506C" w:rsidRPr="00E8506C">
              <w:rPr>
                <w:rFonts w:eastAsia="Calibri"/>
                <w:color w:val="auto"/>
                <w:spacing w:val="-4"/>
                <w:sz w:val="21"/>
                <w:szCs w:val="21"/>
              </w:rPr>
              <w:t xml:space="preserve"> that liquidity is driving risk assets by forcing bond yields down and pushing investors out along the risk curve in a search for yield. Enter the rejuvenated Bank of Japan (BoJ), with new governor Kuroda promising to double the monetary base, a move which involves stepping up asset purchases from ¥2 to ¥7 </w:t>
            </w:r>
            <w:r w:rsidR="00B3292F">
              <w:rPr>
                <w:rFonts w:eastAsia="Calibri"/>
                <w:color w:val="auto"/>
                <w:spacing w:val="-4"/>
                <w:sz w:val="21"/>
                <w:szCs w:val="21"/>
              </w:rPr>
              <w:t>trillion</w:t>
            </w:r>
            <w:r w:rsidR="00E8506C" w:rsidRPr="00E8506C">
              <w:rPr>
                <w:rFonts w:eastAsia="Calibri"/>
                <w:color w:val="auto"/>
                <w:spacing w:val="-4"/>
                <w:sz w:val="21"/>
                <w:szCs w:val="21"/>
              </w:rPr>
              <w:t xml:space="preserve"> and increasing the stock held by the BoJ from 30% of GDP to 60%. </w:t>
            </w:r>
          </w:p>
          <w:p w:rsidR="00E8506C" w:rsidRPr="00E8506C" w:rsidRDefault="00E8506C" w:rsidP="00E8506C">
            <w:pPr>
              <w:spacing w:after="120"/>
              <w:jc w:val="both"/>
              <w:rPr>
                <w:rFonts w:eastAsia="Calibri"/>
                <w:color w:val="auto"/>
                <w:spacing w:val="-4"/>
                <w:sz w:val="21"/>
                <w:szCs w:val="21"/>
              </w:rPr>
            </w:pPr>
            <w:r w:rsidRPr="00E8506C">
              <w:rPr>
                <w:rFonts w:eastAsia="Calibri"/>
                <w:color w:val="auto"/>
                <w:spacing w:val="-4"/>
                <w:sz w:val="21"/>
                <w:szCs w:val="21"/>
              </w:rPr>
              <w:t>In last month’s Viewpoint</w:t>
            </w:r>
            <w:r w:rsidR="00CC67E6">
              <w:rPr>
                <w:rFonts w:eastAsia="Calibri"/>
                <w:color w:val="auto"/>
                <w:spacing w:val="-4"/>
                <w:sz w:val="21"/>
                <w:szCs w:val="21"/>
              </w:rPr>
              <w:t>,</w:t>
            </w:r>
            <w:r w:rsidRPr="00E8506C">
              <w:rPr>
                <w:rFonts w:eastAsia="Calibri"/>
                <w:color w:val="auto"/>
                <w:spacing w:val="-4"/>
                <w:sz w:val="21"/>
                <w:szCs w:val="21"/>
              </w:rPr>
              <w:t xml:space="preserve"> we described the likely effect of the BoJ’s policy on the rest of the world with the devaluation of the Japanese Yen (JPY) generally acting in a deflationary direction, whilst capital outflows from Japanese investors seeking yield would tend to be reflationary. We did not expect to see much evidence of the latter until it became clear that the BoJ was having some success in creating inflation and that real yields on Japanese government bonds (JGB’s) had turned negative. </w:t>
            </w:r>
          </w:p>
          <w:p w:rsidR="00E8506C" w:rsidRPr="00E8506C" w:rsidRDefault="00E8506C" w:rsidP="00E8506C">
            <w:pPr>
              <w:spacing w:after="120"/>
              <w:jc w:val="both"/>
              <w:rPr>
                <w:rFonts w:eastAsia="Calibri"/>
                <w:color w:val="auto"/>
                <w:spacing w:val="-4"/>
                <w:sz w:val="21"/>
                <w:szCs w:val="21"/>
              </w:rPr>
            </w:pPr>
            <w:r w:rsidRPr="00E8506C">
              <w:rPr>
                <w:rFonts w:eastAsia="Calibri"/>
                <w:color w:val="auto"/>
                <w:spacing w:val="-4"/>
                <w:sz w:val="21"/>
                <w:szCs w:val="21"/>
              </w:rPr>
              <w:t xml:space="preserve">As yet, there is little evidence in the data that capital is flowing out of Japan. Indeed the recent Japanese Ministry of Finance figures show investors taking advantage of the weak JPY to repatriate capital. Anecdotal evidence suggests hedge funds are driving the rally in sovereign bonds, moving in anticipation of the Japanese institutions. Europe has been a beneficiary with peripheral bonds rallying alongside those from the traditional safe haven core. Whatever the cause the result is that the reflationary effects of the BoJ’s action are coming through more quickly than anticipated. </w:t>
            </w:r>
          </w:p>
          <w:p w:rsidR="00E8506C" w:rsidRPr="00E8506C" w:rsidRDefault="00E8506C" w:rsidP="00E8506C">
            <w:pPr>
              <w:spacing w:after="120"/>
              <w:jc w:val="both"/>
              <w:rPr>
                <w:rFonts w:eastAsia="Calibri"/>
                <w:color w:val="auto"/>
                <w:spacing w:val="-4"/>
                <w:sz w:val="21"/>
                <w:szCs w:val="21"/>
              </w:rPr>
            </w:pPr>
            <w:r w:rsidRPr="00E8506C">
              <w:rPr>
                <w:rFonts w:eastAsia="Calibri"/>
                <w:color w:val="auto"/>
                <w:spacing w:val="-4"/>
                <w:sz w:val="21"/>
                <w:szCs w:val="21"/>
              </w:rPr>
              <w:t>We believe this is the start of a major theme in markets. As we argued last month (see March Viewpoint), it will take considerable action by the BoJ to generate 2% inflation by the end of 2014 given the history of deflation and the size of the estimated output gap. We expect money printing to continue and to increase in pace over this period. Consequently, we could see further downward moves in bond yields even from these extraordinary levels. The JPY is likely to weaken further and support the Japanese equity market.</w:t>
            </w:r>
          </w:p>
          <w:p w:rsidR="006621D0" w:rsidRDefault="00B3292F" w:rsidP="00B3292F">
            <w:pPr>
              <w:spacing w:before="240" w:after="120"/>
              <w:jc w:val="both"/>
              <w:rPr>
                <w:rFonts w:cs="Arial"/>
                <w:b/>
                <w:bCs/>
                <w:color w:val="001950"/>
                <w:sz w:val="22"/>
                <w:szCs w:val="22"/>
              </w:rPr>
            </w:pPr>
            <w:r w:rsidRPr="00B3292F">
              <w:rPr>
                <w:rFonts w:cs="Arial"/>
                <w:b/>
                <w:bCs/>
                <w:color w:val="001950"/>
                <w:sz w:val="21"/>
                <w:szCs w:val="21"/>
              </w:rPr>
              <w:t>“Bond-like” stocks leading the equity rally</w:t>
            </w:r>
          </w:p>
          <w:p w:rsidR="00B3292F" w:rsidRPr="00B3292F" w:rsidRDefault="00B3292F" w:rsidP="00B3292F">
            <w:pPr>
              <w:spacing w:after="120"/>
              <w:jc w:val="both"/>
              <w:rPr>
                <w:rFonts w:eastAsia="Calibri"/>
                <w:color w:val="auto"/>
                <w:spacing w:val="-4"/>
                <w:sz w:val="21"/>
                <w:szCs w:val="21"/>
              </w:rPr>
            </w:pPr>
            <w:r w:rsidRPr="00B3292F">
              <w:rPr>
                <w:rFonts w:eastAsia="Calibri"/>
                <w:color w:val="auto"/>
                <w:spacing w:val="-4"/>
                <w:sz w:val="21"/>
                <w:szCs w:val="21"/>
              </w:rPr>
              <w:t xml:space="preserve">Meanwhile, global equity markets can continue to benefit. Looking at the sector breakdown of the rally it is clear that the search for yield is driving markets, not expectations of stronger global growth. </w:t>
            </w:r>
            <w:r w:rsidR="00CC67E6">
              <w:rPr>
                <w:rFonts w:eastAsia="Calibri"/>
                <w:color w:val="auto"/>
                <w:spacing w:val="-4"/>
                <w:sz w:val="21"/>
                <w:szCs w:val="21"/>
              </w:rPr>
              <w:t>According to the Wall Street Journal, w</w:t>
            </w:r>
            <w:r w:rsidRPr="00B3292F">
              <w:rPr>
                <w:rFonts w:eastAsia="Calibri"/>
                <w:color w:val="auto"/>
                <w:spacing w:val="-4"/>
                <w:sz w:val="21"/>
                <w:szCs w:val="21"/>
              </w:rPr>
              <w:t xml:space="preserve">ithin the 9% rise in the S&amp;P500 this year, health care is up 19%, consumer staples 17% and utilities 16%. These defensive sectors are bought for their steady dividends and relative insulation from the economic cycle. By contrast the underperformers are the cyclical sectors: IT, energy and materials. </w:t>
            </w:r>
          </w:p>
          <w:p w:rsidR="004D1287" w:rsidRPr="00B3292F" w:rsidRDefault="00B3292F" w:rsidP="00B3292F">
            <w:pPr>
              <w:spacing w:after="120"/>
              <w:jc w:val="both"/>
              <w:rPr>
                <w:rFonts w:eastAsia="Calibri"/>
                <w:color w:val="auto"/>
                <w:spacing w:val="-4"/>
                <w:sz w:val="21"/>
                <w:szCs w:val="21"/>
              </w:rPr>
            </w:pPr>
            <w:r w:rsidRPr="00B3292F">
              <w:rPr>
                <w:rFonts w:eastAsia="Calibri"/>
                <w:color w:val="auto"/>
                <w:spacing w:val="-4"/>
                <w:sz w:val="21"/>
                <w:szCs w:val="21"/>
              </w:rPr>
              <w:t>From this perspective, Quantitative Easing (QE) in Japan, alongside that in the US, is driving the equity rally as investors search for stocks which resemble bonds. Slower growth could lead to another “sell in May”, but if it leads to expectations of even more quantitative easing or other central bank action, 2013 could buck the recent trend and the rally will continue.</w:t>
            </w:r>
          </w:p>
          <w:p w:rsidR="00FE7E5D" w:rsidRDefault="00FE7E5D" w:rsidP="008F4501">
            <w:pPr>
              <w:spacing w:after="120"/>
              <w:jc w:val="both"/>
              <w:rPr>
                <w:rFonts w:cs="Arial"/>
                <w:b/>
                <w:bCs/>
                <w:color w:val="001950"/>
                <w:sz w:val="22"/>
                <w:szCs w:val="22"/>
              </w:rPr>
            </w:pPr>
          </w:p>
          <w:p w:rsidR="007B5454" w:rsidRDefault="007B5454" w:rsidP="00E577CE">
            <w:pPr>
              <w:spacing w:after="240"/>
              <w:jc w:val="both"/>
              <w:rPr>
                <w:rFonts w:cs="Arial"/>
                <w:b/>
                <w:color w:val="001950"/>
                <w:sz w:val="28"/>
                <w:szCs w:val="28"/>
                <w:lang w:eastAsia="en-GB"/>
              </w:rPr>
            </w:pPr>
          </w:p>
          <w:p w:rsidR="007B5454" w:rsidRDefault="007B5454" w:rsidP="00E577CE">
            <w:pPr>
              <w:spacing w:after="240"/>
              <w:jc w:val="both"/>
              <w:rPr>
                <w:rFonts w:cs="Arial"/>
                <w:b/>
                <w:color w:val="001950"/>
                <w:sz w:val="28"/>
                <w:szCs w:val="28"/>
                <w:lang w:eastAsia="en-GB"/>
              </w:rPr>
            </w:pPr>
          </w:p>
          <w:p w:rsidR="007B5454" w:rsidRDefault="007B5454" w:rsidP="00E577CE">
            <w:pPr>
              <w:spacing w:after="240"/>
              <w:jc w:val="both"/>
              <w:rPr>
                <w:rFonts w:cs="Arial"/>
                <w:b/>
                <w:color w:val="001950"/>
                <w:sz w:val="28"/>
                <w:szCs w:val="28"/>
                <w:lang w:eastAsia="en-GB"/>
              </w:rPr>
            </w:pPr>
          </w:p>
          <w:p w:rsidR="007B5454" w:rsidRDefault="007B5454" w:rsidP="00E577CE">
            <w:pPr>
              <w:spacing w:after="240"/>
              <w:jc w:val="both"/>
              <w:rPr>
                <w:rFonts w:cs="Arial"/>
                <w:b/>
                <w:color w:val="001950"/>
                <w:sz w:val="28"/>
                <w:szCs w:val="28"/>
                <w:lang w:eastAsia="en-GB"/>
              </w:rPr>
            </w:pPr>
          </w:p>
          <w:p w:rsidR="007B5454" w:rsidRDefault="007B5454" w:rsidP="00E577CE">
            <w:pPr>
              <w:spacing w:after="240"/>
              <w:jc w:val="both"/>
              <w:rPr>
                <w:rFonts w:cs="Arial"/>
                <w:b/>
                <w:color w:val="001950"/>
                <w:sz w:val="28"/>
                <w:szCs w:val="28"/>
                <w:lang w:eastAsia="en-GB"/>
              </w:rPr>
            </w:pPr>
          </w:p>
          <w:p w:rsidR="00454EEA" w:rsidRPr="009668EE" w:rsidRDefault="00454EEA" w:rsidP="00E577CE">
            <w:pPr>
              <w:spacing w:after="240"/>
              <w:jc w:val="both"/>
              <w:rPr>
                <w:rFonts w:cs="Arial"/>
                <w:b/>
                <w:color w:val="001950"/>
                <w:sz w:val="24"/>
                <w:szCs w:val="28"/>
                <w:lang w:eastAsia="en-GB"/>
              </w:rPr>
            </w:pPr>
            <w:r w:rsidRPr="009668EE">
              <w:rPr>
                <w:rFonts w:cs="Arial"/>
                <w:b/>
                <w:color w:val="001950"/>
                <w:sz w:val="24"/>
                <w:szCs w:val="28"/>
                <w:lang w:eastAsia="en-GB"/>
              </w:rPr>
              <w:lastRenderedPageBreak/>
              <w:t>Europe needs the ECB to act</w:t>
            </w:r>
          </w:p>
          <w:p w:rsidR="00454EEA" w:rsidRPr="00ED7F8D" w:rsidRDefault="00454EEA" w:rsidP="00454EEA">
            <w:pPr>
              <w:spacing w:after="120"/>
              <w:jc w:val="both"/>
              <w:rPr>
                <w:rFonts w:cs="Arial"/>
                <w:sz w:val="21"/>
                <w:szCs w:val="21"/>
                <w:lang w:eastAsia="zh-TW"/>
              </w:rPr>
            </w:pPr>
            <w:r>
              <w:rPr>
                <w:rFonts w:cs="Arial"/>
                <w:sz w:val="21"/>
                <w:szCs w:val="21"/>
                <w:lang w:eastAsia="zh-TW"/>
              </w:rPr>
              <w:t xml:space="preserve">Is Europe really recovering? Industrial production data has improved, but leading indicators suggest that the economy could be about to take another turn for the worse. The European Central Bank now appears likely to provide some form of monetary stimulus, probably in the form of a cut in its main policy interest rate, despite there being a need for more aggressive action. </w:t>
            </w:r>
          </w:p>
          <w:p w:rsidR="00454EEA" w:rsidRDefault="00454EEA" w:rsidP="008F4501">
            <w:pPr>
              <w:spacing w:after="120"/>
              <w:jc w:val="both"/>
              <w:rPr>
                <w:rFonts w:cs="Arial"/>
                <w:b/>
                <w:color w:val="001950"/>
                <w:sz w:val="21"/>
                <w:szCs w:val="21"/>
                <w:lang w:eastAsia="en-GB"/>
              </w:rPr>
            </w:pPr>
            <w:r w:rsidRPr="00454EEA">
              <w:rPr>
                <w:rFonts w:cs="Arial"/>
                <w:b/>
                <w:color w:val="001950"/>
                <w:sz w:val="21"/>
                <w:szCs w:val="21"/>
                <w:lang w:eastAsia="en-GB"/>
              </w:rPr>
              <w:t>Is Europe really recovering?</w:t>
            </w:r>
          </w:p>
          <w:p w:rsidR="00454EEA" w:rsidRDefault="00454EEA" w:rsidP="008F4501">
            <w:pPr>
              <w:spacing w:after="120"/>
              <w:jc w:val="both"/>
              <w:rPr>
                <w:rFonts w:cs="Arial"/>
                <w:sz w:val="21"/>
                <w:szCs w:val="21"/>
              </w:rPr>
            </w:pPr>
            <w:r w:rsidRPr="00FE1A43">
              <w:rPr>
                <w:rFonts w:cs="Arial"/>
                <w:sz w:val="21"/>
                <w:szCs w:val="21"/>
              </w:rPr>
              <w:t>There have been some encouraging signs coming from the Eurozone. Despite the events in Italy and Cyprus, most European bourses are up year to date, while the yield on peripheral government bonds continue to fall. It appears that although investors have preferences for other regions of the world, there are some that are still supporting the region.</w:t>
            </w:r>
          </w:p>
          <w:p w:rsidR="00454EEA" w:rsidRPr="00777757" w:rsidRDefault="00454EEA" w:rsidP="00454EEA">
            <w:pPr>
              <w:spacing w:after="120"/>
              <w:jc w:val="both"/>
              <w:rPr>
                <w:rFonts w:cs="Arial"/>
                <w:sz w:val="21"/>
                <w:szCs w:val="21"/>
              </w:rPr>
            </w:pPr>
            <w:r>
              <w:rPr>
                <w:rFonts w:cs="Arial"/>
                <w:sz w:val="21"/>
                <w:szCs w:val="21"/>
              </w:rPr>
              <w:t>On the macro front, the latest industrial production data suggests some form of stabilisation across the bi</w:t>
            </w:r>
            <w:r w:rsidR="005C7309">
              <w:rPr>
                <w:rFonts w:cs="Arial"/>
                <w:sz w:val="21"/>
                <w:szCs w:val="21"/>
              </w:rPr>
              <w:t>ggest member states (see chart 5</w:t>
            </w:r>
            <w:r>
              <w:rPr>
                <w:rFonts w:cs="Arial"/>
                <w:sz w:val="21"/>
                <w:szCs w:val="21"/>
              </w:rPr>
              <w:t>). German</w:t>
            </w:r>
            <w:r w:rsidR="00053250">
              <w:rPr>
                <w:rFonts w:cs="Arial"/>
                <w:sz w:val="21"/>
                <w:szCs w:val="21"/>
              </w:rPr>
              <w:t>y</w:t>
            </w:r>
            <w:r>
              <w:rPr>
                <w:rFonts w:cs="Arial"/>
                <w:sz w:val="21"/>
                <w:szCs w:val="21"/>
              </w:rPr>
              <w:t xml:space="preserve">, France and Italy should see a substantial improvement in first quarter industrial production data, which will feed through into better GDP numbers overall. </w:t>
            </w:r>
          </w:p>
          <w:p w:rsidR="00454EEA" w:rsidRDefault="005C7309" w:rsidP="00454EEA">
            <w:pPr>
              <w:spacing w:before="120"/>
              <w:jc w:val="both"/>
              <w:rPr>
                <w:rFonts w:cs="Arial"/>
                <w:b/>
                <w:color w:val="001950"/>
                <w:sz w:val="21"/>
                <w:szCs w:val="21"/>
              </w:rPr>
            </w:pPr>
            <w:r>
              <w:rPr>
                <w:rFonts w:cs="Arial"/>
                <w:b/>
                <w:color w:val="001950"/>
                <w:sz w:val="21"/>
                <w:szCs w:val="21"/>
              </w:rPr>
              <w:t>Chart 5</w:t>
            </w:r>
            <w:r w:rsidR="00454EEA" w:rsidRPr="00454EEA">
              <w:rPr>
                <w:rFonts w:cs="Arial"/>
                <w:b/>
                <w:color w:val="001950"/>
                <w:sz w:val="21"/>
                <w:szCs w:val="21"/>
              </w:rPr>
              <w:t>: Industrial production stabilising</w:t>
            </w:r>
          </w:p>
          <w:p w:rsidR="00640B15" w:rsidRDefault="00295A04" w:rsidP="00454EEA">
            <w:pPr>
              <w:jc w:val="both"/>
              <w:rPr>
                <w:rFonts w:cs="Arial"/>
                <w:sz w:val="21"/>
                <w:szCs w:val="21"/>
              </w:rPr>
            </w:pPr>
            <w:r>
              <w:rPr>
                <w:rFonts w:cs="Arial"/>
                <w:noProof/>
                <w:sz w:val="21"/>
                <w:szCs w:val="21"/>
                <w:lang w:val="pt-PT" w:eastAsia="pt-PT"/>
              </w:rPr>
              <w:drawing>
                <wp:inline distT="0" distB="0" distL="0" distR="0">
                  <wp:extent cx="4782820" cy="273748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782820" cy="2737485"/>
                          </a:xfrm>
                          <a:prstGeom prst="rect">
                            <a:avLst/>
                          </a:prstGeom>
                          <a:noFill/>
                          <a:ln w="9525">
                            <a:noFill/>
                            <a:miter lim="800000"/>
                            <a:headEnd/>
                            <a:tailEnd/>
                          </a:ln>
                        </pic:spPr>
                      </pic:pic>
                    </a:graphicData>
                  </a:graphic>
                </wp:inline>
              </w:drawing>
            </w:r>
          </w:p>
          <w:p w:rsidR="00454EEA" w:rsidRDefault="00454EEA" w:rsidP="008F4501">
            <w:pPr>
              <w:spacing w:after="120"/>
              <w:jc w:val="both"/>
              <w:rPr>
                <w:rFonts w:cs="Arial"/>
                <w:color w:val="808080"/>
                <w:sz w:val="18"/>
                <w:szCs w:val="18"/>
              </w:rPr>
            </w:pPr>
            <w:r w:rsidRPr="00C0002E">
              <w:rPr>
                <w:rFonts w:cs="Arial"/>
                <w:color w:val="808080"/>
                <w:sz w:val="18"/>
                <w:szCs w:val="18"/>
              </w:rPr>
              <w:t xml:space="preserve">*2013q1 uses January and February data, and assumes no change in March to complete the quarter. Source: Thomson Datastream, Schroders. 26 April 2013. </w:t>
            </w:r>
          </w:p>
          <w:p w:rsidR="00E443F1" w:rsidRDefault="00E443F1" w:rsidP="00E443F1">
            <w:pPr>
              <w:spacing w:after="120"/>
              <w:jc w:val="both"/>
              <w:rPr>
                <w:rFonts w:cs="Arial"/>
                <w:sz w:val="21"/>
                <w:szCs w:val="21"/>
              </w:rPr>
            </w:pPr>
            <w:r>
              <w:rPr>
                <w:rFonts w:cs="Arial"/>
                <w:sz w:val="21"/>
                <w:szCs w:val="21"/>
              </w:rPr>
              <w:t xml:space="preserve">We forecast the quarterly </w:t>
            </w:r>
            <w:r w:rsidRPr="00C56FBD">
              <w:rPr>
                <w:rFonts w:cs="Arial"/>
                <w:sz w:val="21"/>
                <w:szCs w:val="21"/>
              </w:rPr>
              <w:t>Eurozone</w:t>
            </w:r>
            <w:r>
              <w:rPr>
                <w:rFonts w:cs="Arial"/>
                <w:sz w:val="21"/>
                <w:szCs w:val="21"/>
              </w:rPr>
              <w:t xml:space="preserve"> aggregate GDP to improve in the first quarter, rising from -0.6% to -0.2%. The industrial production numbers above support the forecast. However, there has recently been another downturn in leading indicators which presents new downside risks to our forecast for a continued improvement in the numbers for the rest of the year.</w:t>
            </w:r>
          </w:p>
          <w:p w:rsidR="00E443F1" w:rsidRDefault="00E443F1" w:rsidP="00E443F1">
            <w:pPr>
              <w:spacing w:after="120"/>
              <w:jc w:val="both"/>
              <w:rPr>
                <w:rFonts w:cs="Arial"/>
                <w:sz w:val="21"/>
                <w:szCs w:val="21"/>
              </w:rPr>
            </w:pPr>
            <w:r>
              <w:rPr>
                <w:rFonts w:cs="Arial"/>
                <w:sz w:val="21"/>
                <w:szCs w:val="21"/>
              </w:rPr>
              <w:t>The macro composite purchasing managers’ index (PMI) for the Eurozone aggregate has fallen for three consecutive months since its peak in January. The ‘flash’ April reading of 46.3 is indicative of the pace of contraction in activity re-accelerating in the second quarter (a reading below 50 signals net overall falling activity, while above 50 signals positive growth). Similarly, our other favourite leading indicator - the Belgian National Bank (BNB) survey - is also signalli</w:t>
            </w:r>
            <w:r w:rsidR="005C7309">
              <w:rPr>
                <w:rFonts w:cs="Arial"/>
                <w:sz w:val="21"/>
                <w:szCs w:val="21"/>
              </w:rPr>
              <w:t>ng renewed weakness (see chart 6</w:t>
            </w:r>
            <w:r>
              <w:rPr>
                <w:rFonts w:cs="Arial"/>
                <w:sz w:val="21"/>
                <w:szCs w:val="21"/>
              </w:rPr>
              <w:t xml:space="preserve">). </w:t>
            </w:r>
          </w:p>
          <w:p w:rsidR="00280EC5" w:rsidRDefault="00280EC5" w:rsidP="00E443F1">
            <w:pPr>
              <w:spacing w:after="120"/>
              <w:jc w:val="both"/>
              <w:rPr>
                <w:rFonts w:cs="Arial"/>
                <w:sz w:val="21"/>
                <w:szCs w:val="21"/>
              </w:rPr>
            </w:pPr>
          </w:p>
          <w:p w:rsidR="0034247D" w:rsidRDefault="0034247D" w:rsidP="00E443F1">
            <w:pPr>
              <w:spacing w:after="120"/>
              <w:jc w:val="both"/>
              <w:rPr>
                <w:rFonts w:cs="Arial"/>
                <w:sz w:val="21"/>
                <w:szCs w:val="21"/>
              </w:rPr>
            </w:pPr>
          </w:p>
          <w:p w:rsidR="0034247D" w:rsidRDefault="0034247D" w:rsidP="00E443F1">
            <w:pPr>
              <w:spacing w:after="120"/>
              <w:jc w:val="both"/>
              <w:rPr>
                <w:rFonts w:cs="Arial"/>
                <w:sz w:val="21"/>
                <w:szCs w:val="21"/>
              </w:rPr>
            </w:pPr>
          </w:p>
          <w:p w:rsidR="00280EC5" w:rsidRDefault="00280EC5" w:rsidP="00E443F1">
            <w:pPr>
              <w:spacing w:after="120"/>
              <w:jc w:val="both"/>
              <w:rPr>
                <w:rFonts w:cs="Arial"/>
                <w:sz w:val="21"/>
                <w:szCs w:val="21"/>
              </w:rPr>
            </w:pPr>
          </w:p>
          <w:p w:rsidR="00416154" w:rsidRDefault="00416154" w:rsidP="00397AC5">
            <w:pPr>
              <w:spacing w:after="40"/>
              <w:jc w:val="both"/>
              <w:rPr>
                <w:rFonts w:cs="Arial"/>
                <w:sz w:val="21"/>
                <w:szCs w:val="21"/>
              </w:rPr>
            </w:pPr>
            <w:r w:rsidRPr="00416154">
              <w:rPr>
                <w:rFonts w:cs="Arial"/>
                <w:b/>
                <w:color w:val="001950"/>
                <w:sz w:val="21"/>
                <w:szCs w:val="21"/>
              </w:rPr>
              <w:lastRenderedPageBreak/>
              <w:t>Char</w:t>
            </w:r>
            <w:r w:rsidR="00DB3329">
              <w:rPr>
                <w:rFonts w:cs="Arial"/>
                <w:b/>
                <w:color w:val="001950"/>
                <w:sz w:val="21"/>
                <w:szCs w:val="21"/>
              </w:rPr>
              <w:t xml:space="preserve">t </w:t>
            </w:r>
            <w:r w:rsidR="005C7309">
              <w:rPr>
                <w:rFonts w:cs="Arial"/>
                <w:b/>
                <w:color w:val="001950"/>
                <w:sz w:val="21"/>
                <w:szCs w:val="21"/>
              </w:rPr>
              <w:t>6</w:t>
            </w:r>
            <w:r w:rsidR="00910009">
              <w:rPr>
                <w:rFonts w:cs="Arial"/>
                <w:b/>
                <w:color w:val="001950"/>
                <w:sz w:val="21"/>
                <w:szCs w:val="21"/>
              </w:rPr>
              <w:t xml:space="preserve">: </w:t>
            </w:r>
            <w:r w:rsidR="00E443F1">
              <w:rPr>
                <w:rFonts w:cs="Arial"/>
                <w:b/>
                <w:color w:val="001950"/>
                <w:sz w:val="21"/>
                <w:szCs w:val="21"/>
              </w:rPr>
              <w:t>Leading indicators turn down again</w:t>
            </w:r>
          </w:p>
          <w:p w:rsidR="00910009" w:rsidRDefault="00295A04" w:rsidP="008F4501">
            <w:pPr>
              <w:spacing w:after="80"/>
              <w:jc w:val="both"/>
              <w:rPr>
                <w:rFonts w:cs="Arial"/>
                <w:sz w:val="21"/>
                <w:szCs w:val="21"/>
              </w:rPr>
            </w:pPr>
            <w:r>
              <w:rPr>
                <w:rFonts w:cs="Arial"/>
                <w:noProof/>
                <w:sz w:val="21"/>
                <w:szCs w:val="21"/>
                <w:lang w:val="pt-PT" w:eastAsia="pt-PT"/>
              </w:rPr>
              <w:drawing>
                <wp:inline distT="0" distB="0" distL="0" distR="0">
                  <wp:extent cx="4918075" cy="2784475"/>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918075" cy="2784475"/>
                          </a:xfrm>
                          <a:prstGeom prst="rect">
                            <a:avLst/>
                          </a:prstGeom>
                          <a:noFill/>
                          <a:ln w="9525">
                            <a:noFill/>
                            <a:miter lim="800000"/>
                            <a:headEnd/>
                            <a:tailEnd/>
                          </a:ln>
                        </pic:spPr>
                      </pic:pic>
                    </a:graphicData>
                  </a:graphic>
                </wp:inline>
              </w:drawing>
            </w:r>
          </w:p>
          <w:p w:rsidR="00280EC5" w:rsidRDefault="00280EC5" w:rsidP="008F4501">
            <w:pPr>
              <w:spacing w:after="80"/>
              <w:jc w:val="both"/>
              <w:rPr>
                <w:rFonts w:cs="Arial"/>
                <w:color w:val="808080"/>
                <w:sz w:val="18"/>
                <w:szCs w:val="18"/>
              </w:rPr>
            </w:pPr>
            <w:r w:rsidRPr="00280EC5">
              <w:rPr>
                <w:rFonts w:cs="Arial"/>
                <w:color w:val="808080"/>
                <w:sz w:val="18"/>
                <w:szCs w:val="18"/>
              </w:rPr>
              <w:t>*Both of the surveys have been standardised to match the mean and standard deviation of the annual GDP figures, to provide an unbiased signal on growth. Source: Thomson Datastream, Eurostat, Markit, BNB, Schroders. 26 April 2013.</w:t>
            </w:r>
          </w:p>
          <w:p w:rsidR="00280EC5" w:rsidRPr="00642F47" w:rsidRDefault="00280EC5" w:rsidP="00280EC5">
            <w:pPr>
              <w:spacing w:after="120"/>
              <w:jc w:val="both"/>
              <w:rPr>
                <w:rFonts w:cs="Arial"/>
                <w:sz w:val="21"/>
                <w:szCs w:val="21"/>
                <w:lang w:eastAsia="zh-TW"/>
              </w:rPr>
            </w:pPr>
            <w:r w:rsidRPr="00642F47">
              <w:rPr>
                <w:rFonts w:cs="Arial"/>
                <w:sz w:val="21"/>
                <w:szCs w:val="21"/>
                <w:lang w:eastAsia="zh-TW"/>
              </w:rPr>
              <w:t xml:space="preserve">The PMIs and BNB survey are not the only indicators pointing to further weakness. Both the German IFO and the French INSEE surveys have been noticeably weaker too. It appears that while we </w:t>
            </w:r>
            <w:r w:rsidR="00574D87">
              <w:rPr>
                <w:rFonts w:cs="Arial"/>
                <w:sz w:val="21"/>
                <w:szCs w:val="21"/>
                <w:lang w:eastAsia="zh-TW"/>
              </w:rPr>
              <w:t>could</w:t>
            </w:r>
            <w:r w:rsidRPr="00642F47">
              <w:rPr>
                <w:rFonts w:cs="Arial"/>
                <w:sz w:val="21"/>
                <w:szCs w:val="21"/>
                <w:lang w:eastAsia="zh-TW"/>
              </w:rPr>
              <w:t xml:space="preserve"> see an improvement in the GDP figures for the first quarter, we may yet see the decline in activity persisting for longer this year than previously anticipated. </w:t>
            </w:r>
          </w:p>
          <w:p w:rsidR="00280EC5" w:rsidRPr="00642F47" w:rsidRDefault="00280EC5" w:rsidP="00280EC5">
            <w:pPr>
              <w:spacing w:before="240" w:after="120"/>
              <w:jc w:val="both"/>
              <w:rPr>
                <w:rFonts w:cs="Arial"/>
                <w:b/>
                <w:color w:val="001950"/>
                <w:sz w:val="21"/>
                <w:szCs w:val="21"/>
              </w:rPr>
            </w:pPr>
            <w:r>
              <w:rPr>
                <w:rFonts w:cs="Arial"/>
                <w:b/>
                <w:color w:val="001950"/>
                <w:sz w:val="21"/>
                <w:szCs w:val="21"/>
              </w:rPr>
              <w:t>Deflation</w:t>
            </w:r>
            <w:r w:rsidRPr="00642F47">
              <w:rPr>
                <w:rFonts w:cs="Arial"/>
                <w:b/>
                <w:color w:val="001950"/>
                <w:sz w:val="21"/>
                <w:szCs w:val="21"/>
              </w:rPr>
              <w:t xml:space="preserve"> risk rising</w:t>
            </w:r>
          </w:p>
          <w:p w:rsidR="00280EC5" w:rsidRDefault="00280EC5" w:rsidP="008F4501">
            <w:pPr>
              <w:spacing w:after="80"/>
              <w:jc w:val="both"/>
              <w:rPr>
                <w:rFonts w:cs="Arial"/>
                <w:noProof/>
                <w:sz w:val="21"/>
                <w:szCs w:val="21"/>
              </w:rPr>
            </w:pPr>
            <w:r w:rsidRPr="00720954">
              <w:rPr>
                <w:rFonts w:cs="Arial"/>
                <w:noProof/>
                <w:sz w:val="21"/>
                <w:szCs w:val="21"/>
              </w:rPr>
              <w:t>While the growth recovery is being called into question, the inflation data</w:t>
            </w:r>
            <w:r w:rsidRPr="00642F47">
              <w:rPr>
                <w:rFonts w:cs="Arial"/>
                <w:noProof/>
                <w:sz w:val="21"/>
                <w:szCs w:val="21"/>
              </w:rPr>
              <w:t xml:space="preserve"> continues to show underlying inflation falling across the Eurozone. Annual </w:t>
            </w:r>
            <w:r w:rsidRPr="00642F47">
              <w:rPr>
                <w:rFonts w:cs="Arial"/>
                <w:noProof/>
                <w:sz w:val="21"/>
                <w:szCs w:val="21"/>
              </w:rPr>
              <w:br/>
            </w:r>
            <w:r w:rsidRPr="00720954">
              <w:rPr>
                <w:rFonts w:cs="Arial"/>
                <w:noProof/>
                <w:sz w:val="21"/>
                <w:szCs w:val="21"/>
              </w:rPr>
              <w:t>headline HI</w:t>
            </w:r>
            <w:r w:rsidR="00874E2C">
              <w:rPr>
                <w:rFonts w:cs="Arial"/>
                <w:noProof/>
                <w:sz w:val="21"/>
                <w:szCs w:val="21"/>
              </w:rPr>
              <w:t>C</w:t>
            </w:r>
            <w:r w:rsidRPr="00720954">
              <w:rPr>
                <w:rFonts w:cs="Arial"/>
                <w:noProof/>
                <w:sz w:val="21"/>
                <w:szCs w:val="21"/>
              </w:rPr>
              <w:t>P inflation has fallen from 2.2% at the end of 2012 to 1.</w:t>
            </w:r>
            <w:r w:rsidR="00874E2C">
              <w:rPr>
                <w:rFonts w:cs="Arial"/>
                <w:noProof/>
                <w:sz w:val="21"/>
                <w:szCs w:val="21"/>
              </w:rPr>
              <w:t>2</w:t>
            </w:r>
            <w:r w:rsidRPr="00720954">
              <w:rPr>
                <w:rFonts w:cs="Arial"/>
                <w:noProof/>
                <w:sz w:val="21"/>
                <w:szCs w:val="21"/>
              </w:rPr>
              <w:t>% in March</w:t>
            </w:r>
            <w:r>
              <w:rPr>
                <w:rFonts w:cs="Arial"/>
                <w:noProof/>
                <w:sz w:val="21"/>
                <w:szCs w:val="21"/>
              </w:rPr>
              <w:t xml:space="preserve"> - meeting the European Central Bank’s target of below, but close to 2% annual inflation</w:t>
            </w:r>
            <w:r w:rsidR="00990323">
              <w:rPr>
                <w:rFonts w:cs="Arial"/>
                <w:noProof/>
                <w:sz w:val="21"/>
                <w:szCs w:val="21"/>
              </w:rPr>
              <w:t xml:space="preserve">, but is </w:t>
            </w:r>
            <w:r w:rsidR="009021AA">
              <w:rPr>
                <w:rFonts w:cs="Arial"/>
                <w:noProof/>
                <w:sz w:val="21"/>
                <w:szCs w:val="21"/>
              </w:rPr>
              <w:t>also becoming a little too low for comfort</w:t>
            </w:r>
            <w:r>
              <w:rPr>
                <w:rFonts w:cs="Arial"/>
                <w:noProof/>
                <w:sz w:val="21"/>
                <w:szCs w:val="21"/>
              </w:rPr>
              <w:t xml:space="preserve">. The falls have been largely as a result of lower inflation </w:t>
            </w:r>
            <w:r w:rsidR="00574D87">
              <w:rPr>
                <w:rFonts w:cs="Arial"/>
                <w:noProof/>
                <w:sz w:val="21"/>
                <w:szCs w:val="21"/>
              </w:rPr>
              <w:t>from</w:t>
            </w:r>
            <w:r>
              <w:rPr>
                <w:rFonts w:cs="Arial"/>
                <w:noProof/>
                <w:sz w:val="21"/>
                <w:szCs w:val="21"/>
              </w:rPr>
              <w:t xml:space="preserve"> energy and transportation costs. Indeed</w:t>
            </w:r>
            <w:r w:rsidR="00574D87">
              <w:rPr>
                <w:rFonts w:cs="Arial"/>
                <w:noProof/>
                <w:sz w:val="21"/>
                <w:szCs w:val="21"/>
              </w:rPr>
              <w:t>,</w:t>
            </w:r>
            <w:r>
              <w:rPr>
                <w:rFonts w:cs="Arial"/>
                <w:noProof/>
                <w:sz w:val="21"/>
                <w:szCs w:val="21"/>
              </w:rPr>
              <w:t xml:space="preserve"> with the economy in recession and unemployment rising sharply in a number of states, rising spare capacity especially in the labour market is causing a build up of deflationary pressure.</w:t>
            </w:r>
          </w:p>
          <w:p w:rsidR="00280EC5" w:rsidRDefault="00053250" w:rsidP="00280EC5">
            <w:pPr>
              <w:spacing w:after="120"/>
              <w:jc w:val="both"/>
              <w:rPr>
                <w:rFonts w:cs="Arial"/>
                <w:noProof/>
                <w:sz w:val="21"/>
                <w:szCs w:val="21"/>
              </w:rPr>
            </w:pPr>
            <w:r>
              <w:rPr>
                <w:rFonts w:cs="Arial"/>
                <w:noProof/>
                <w:sz w:val="21"/>
                <w:szCs w:val="21"/>
              </w:rPr>
              <w:t>T</w:t>
            </w:r>
            <w:r w:rsidR="009021AA">
              <w:rPr>
                <w:rFonts w:cs="Arial"/>
                <w:noProof/>
                <w:sz w:val="21"/>
                <w:szCs w:val="21"/>
              </w:rPr>
              <w:t xml:space="preserve">he underlying weakness </w:t>
            </w:r>
            <w:r>
              <w:rPr>
                <w:rFonts w:cs="Arial"/>
                <w:noProof/>
                <w:sz w:val="21"/>
                <w:szCs w:val="21"/>
              </w:rPr>
              <w:t xml:space="preserve">in pricing </w:t>
            </w:r>
            <w:r w:rsidR="009021AA">
              <w:rPr>
                <w:rFonts w:cs="Arial"/>
                <w:noProof/>
                <w:sz w:val="21"/>
                <w:szCs w:val="21"/>
              </w:rPr>
              <w:t xml:space="preserve">is highlighted further when </w:t>
            </w:r>
            <w:r w:rsidR="009571B3">
              <w:rPr>
                <w:rFonts w:cs="Arial"/>
                <w:noProof/>
                <w:sz w:val="21"/>
                <w:szCs w:val="21"/>
              </w:rPr>
              <w:t>taking into account the impact of tax increases. T</w:t>
            </w:r>
            <w:r w:rsidR="00280EC5">
              <w:rPr>
                <w:rFonts w:cs="Arial"/>
                <w:noProof/>
                <w:sz w:val="21"/>
                <w:szCs w:val="21"/>
              </w:rPr>
              <w:t>he headline rate of inflation in some countries if being artifically raised by increases in value added tax</w:t>
            </w:r>
            <w:r w:rsidR="009571B3">
              <w:rPr>
                <w:rFonts w:cs="Arial"/>
                <w:noProof/>
                <w:sz w:val="21"/>
                <w:szCs w:val="21"/>
              </w:rPr>
              <w:t xml:space="preserve"> (VAT)</w:t>
            </w:r>
            <w:r w:rsidR="00280EC5">
              <w:rPr>
                <w:rFonts w:cs="Arial"/>
                <w:noProof/>
                <w:sz w:val="21"/>
                <w:szCs w:val="21"/>
              </w:rPr>
              <w:t>, along with a number of duties. Once these effects come out of the calculation, then the annual figures will turn down</w:t>
            </w:r>
            <w:r w:rsidR="00397AC5">
              <w:rPr>
                <w:rFonts w:cs="Arial"/>
                <w:noProof/>
                <w:sz w:val="21"/>
                <w:szCs w:val="21"/>
              </w:rPr>
              <w:t xml:space="preserve"> sharply</w:t>
            </w:r>
            <w:r w:rsidR="00280EC5">
              <w:rPr>
                <w:rFonts w:cs="Arial"/>
                <w:noProof/>
                <w:sz w:val="21"/>
                <w:szCs w:val="21"/>
              </w:rPr>
              <w:t xml:space="preserve">. Eurostat helpfully publishes estimates of inflation rates excluding the impact of </w:t>
            </w:r>
            <w:r w:rsidR="00280EC5" w:rsidRPr="00B12A11">
              <w:rPr>
                <w:rFonts w:cs="Arial"/>
                <w:noProof/>
                <w:sz w:val="21"/>
                <w:szCs w:val="21"/>
              </w:rPr>
              <w:t xml:space="preserve">tax increases. These show that the Eurozone aggregate inflation rate </w:t>
            </w:r>
            <w:r w:rsidR="00D11FC7">
              <w:rPr>
                <w:rFonts w:cs="Arial"/>
                <w:noProof/>
                <w:sz w:val="21"/>
                <w:szCs w:val="21"/>
              </w:rPr>
              <w:t xml:space="preserve">excluding taxes </w:t>
            </w:r>
            <w:r w:rsidR="00397AC5">
              <w:rPr>
                <w:rFonts w:cs="Arial"/>
                <w:noProof/>
                <w:sz w:val="21"/>
                <w:szCs w:val="21"/>
              </w:rPr>
              <w:t xml:space="preserve">for March (April not yet available) </w:t>
            </w:r>
            <w:r w:rsidR="00280EC5">
              <w:rPr>
                <w:rFonts w:cs="Arial"/>
                <w:noProof/>
                <w:sz w:val="21"/>
                <w:szCs w:val="21"/>
              </w:rPr>
              <w:t>would be 1.3</w:t>
            </w:r>
            <w:r w:rsidR="00280EC5" w:rsidRPr="00B12A11">
              <w:rPr>
                <w:rFonts w:cs="Arial"/>
                <w:noProof/>
                <w:sz w:val="21"/>
                <w:szCs w:val="21"/>
              </w:rPr>
              <w:t>% instead of the headline 1.7% rate, which includes the impact of on</w:t>
            </w:r>
            <w:r w:rsidR="005C7309">
              <w:rPr>
                <w:rFonts w:cs="Arial"/>
                <w:noProof/>
                <w:sz w:val="21"/>
                <w:szCs w:val="21"/>
              </w:rPr>
              <w:t>e-off tax increases (see chart 7</w:t>
            </w:r>
            <w:r w:rsidR="00397AC5">
              <w:rPr>
                <w:rFonts w:cs="Arial"/>
                <w:noProof/>
                <w:sz w:val="21"/>
                <w:szCs w:val="21"/>
              </w:rPr>
              <w:t xml:space="preserve"> on next page</w:t>
            </w:r>
            <w:r w:rsidR="00280EC5" w:rsidRPr="00B12A11">
              <w:rPr>
                <w:rFonts w:cs="Arial"/>
                <w:noProof/>
                <w:sz w:val="21"/>
                <w:szCs w:val="21"/>
              </w:rPr>
              <w:t>).</w:t>
            </w:r>
          </w:p>
          <w:p w:rsidR="00280EC5" w:rsidRDefault="00280EC5" w:rsidP="00280EC5">
            <w:pPr>
              <w:spacing w:after="120"/>
              <w:jc w:val="both"/>
              <w:rPr>
                <w:rFonts w:cs="Arial"/>
                <w:noProof/>
                <w:sz w:val="21"/>
                <w:szCs w:val="21"/>
              </w:rPr>
            </w:pPr>
          </w:p>
          <w:p w:rsidR="00280EC5" w:rsidRDefault="00280EC5" w:rsidP="00280EC5">
            <w:pPr>
              <w:spacing w:after="120"/>
              <w:jc w:val="both"/>
              <w:rPr>
                <w:rFonts w:cs="Arial"/>
                <w:noProof/>
                <w:sz w:val="21"/>
                <w:szCs w:val="21"/>
              </w:rPr>
            </w:pPr>
          </w:p>
          <w:p w:rsidR="00280EC5" w:rsidRDefault="00280EC5" w:rsidP="00280EC5">
            <w:pPr>
              <w:spacing w:after="120"/>
              <w:jc w:val="both"/>
              <w:rPr>
                <w:rFonts w:cs="Arial"/>
                <w:noProof/>
                <w:sz w:val="21"/>
                <w:szCs w:val="21"/>
              </w:rPr>
            </w:pPr>
          </w:p>
          <w:p w:rsidR="00280EC5" w:rsidRDefault="00280EC5" w:rsidP="00280EC5">
            <w:pPr>
              <w:spacing w:after="120"/>
              <w:jc w:val="both"/>
              <w:rPr>
                <w:rFonts w:cs="Arial"/>
                <w:noProof/>
                <w:sz w:val="21"/>
                <w:szCs w:val="21"/>
              </w:rPr>
            </w:pPr>
          </w:p>
          <w:p w:rsidR="00280EC5" w:rsidRDefault="00280EC5" w:rsidP="00280EC5">
            <w:pPr>
              <w:spacing w:after="120"/>
              <w:jc w:val="both"/>
              <w:rPr>
                <w:rFonts w:cs="Arial"/>
                <w:noProof/>
                <w:sz w:val="21"/>
                <w:szCs w:val="21"/>
              </w:rPr>
            </w:pPr>
          </w:p>
          <w:p w:rsidR="00280EC5" w:rsidRDefault="00280EC5" w:rsidP="00280EC5">
            <w:pPr>
              <w:spacing w:after="120"/>
              <w:jc w:val="both"/>
              <w:rPr>
                <w:rFonts w:cs="Arial"/>
                <w:noProof/>
                <w:sz w:val="21"/>
                <w:szCs w:val="21"/>
              </w:rPr>
            </w:pPr>
          </w:p>
          <w:p w:rsidR="00280EC5" w:rsidRDefault="00280EC5" w:rsidP="00280EC5">
            <w:pPr>
              <w:pStyle w:val="Textosimples"/>
              <w:jc w:val="both"/>
              <w:rPr>
                <w:rFonts w:cs="Arial"/>
                <w:b/>
                <w:color w:val="001950"/>
                <w:sz w:val="22"/>
                <w:lang w:eastAsia="en-GB"/>
              </w:rPr>
            </w:pPr>
            <w:r w:rsidRPr="006E07DB">
              <w:rPr>
                <w:rFonts w:cs="Arial"/>
                <w:b/>
                <w:color w:val="001950"/>
                <w:sz w:val="21"/>
              </w:rPr>
              <w:lastRenderedPageBreak/>
              <w:t xml:space="preserve">Chart </w:t>
            </w:r>
            <w:r w:rsidR="005C7309">
              <w:rPr>
                <w:rFonts w:cs="Arial"/>
                <w:b/>
                <w:color w:val="001950"/>
                <w:sz w:val="21"/>
              </w:rPr>
              <w:t>7</w:t>
            </w:r>
            <w:r>
              <w:rPr>
                <w:rFonts w:cs="Arial"/>
                <w:b/>
                <w:color w:val="001950"/>
                <w:sz w:val="21"/>
              </w:rPr>
              <w:t>: Underlying Eurozone inflation falling</w:t>
            </w:r>
            <w:r w:rsidRPr="00593C7A">
              <w:rPr>
                <w:rFonts w:cs="Arial"/>
                <w:b/>
                <w:color w:val="001950"/>
                <w:sz w:val="22"/>
                <w:lang w:eastAsia="en-GB"/>
              </w:rPr>
              <w:t xml:space="preserve"> </w:t>
            </w:r>
          </w:p>
          <w:p w:rsidR="00D97FC6" w:rsidRPr="001E600B" w:rsidRDefault="00295A04" w:rsidP="00874E2C">
            <w:pPr>
              <w:pStyle w:val="Textosimples"/>
              <w:jc w:val="both"/>
              <w:rPr>
                <w:rFonts w:cs="Arial"/>
                <w:b/>
                <w:color w:val="001950"/>
                <w:sz w:val="22"/>
                <w:lang w:eastAsia="en-GB"/>
              </w:rPr>
            </w:pPr>
            <w:r>
              <w:rPr>
                <w:rFonts w:cs="Arial"/>
                <w:b/>
                <w:noProof/>
                <w:color w:val="001950"/>
                <w:sz w:val="22"/>
                <w:lang w:val="pt-PT" w:eastAsia="pt-PT"/>
              </w:rPr>
              <w:drawing>
                <wp:inline distT="0" distB="0" distL="0" distR="0">
                  <wp:extent cx="4976495" cy="2819400"/>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976495" cy="2819400"/>
                          </a:xfrm>
                          <a:prstGeom prst="rect">
                            <a:avLst/>
                          </a:prstGeom>
                          <a:noFill/>
                          <a:ln w="9525">
                            <a:noFill/>
                            <a:miter lim="800000"/>
                            <a:headEnd/>
                            <a:tailEnd/>
                          </a:ln>
                        </pic:spPr>
                      </pic:pic>
                    </a:graphicData>
                  </a:graphic>
                </wp:inline>
              </w:drawing>
            </w:r>
          </w:p>
          <w:p w:rsidR="00280EC5" w:rsidRDefault="00D11FC7" w:rsidP="008F4501">
            <w:pPr>
              <w:spacing w:after="80"/>
              <w:jc w:val="both"/>
              <w:rPr>
                <w:rFonts w:cs="Arial"/>
                <w:color w:val="808080"/>
                <w:sz w:val="18"/>
                <w:lang w:eastAsia="en-GB"/>
              </w:rPr>
            </w:pPr>
            <w:r>
              <w:rPr>
                <w:rFonts w:cs="Arial"/>
                <w:color w:val="808080"/>
                <w:sz w:val="18"/>
                <w:lang w:eastAsia="en-GB"/>
              </w:rPr>
              <w:t xml:space="preserve">Headline HCPI data is available for April, but the excluding taxes measure is only to March. </w:t>
            </w:r>
            <w:r w:rsidR="00280EC5" w:rsidRPr="00280EC5">
              <w:rPr>
                <w:rFonts w:cs="Arial"/>
                <w:color w:val="808080"/>
                <w:sz w:val="18"/>
                <w:lang w:eastAsia="en-GB"/>
              </w:rPr>
              <w:t xml:space="preserve">Source: Thompson Datastream, Eurostat, Schroders. </w:t>
            </w:r>
            <w:r w:rsidR="00D66CB8">
              <w:rPr>
                <w:rFonts w:cs="Arial"/>
                <w:color w:val="808080"/>
                <w:sz w:val="18"/>
                <w:lang w:eastAsia="en-GB"/>
              </w:rPr>
              <w:t xml:space="preserve">30 </w:t>
            </w:r>
            <w:r w:rsidR="00280EC5" w:rsidRPr="00280EC5">
              <w:rPr>
                <w:rFonts w:cs="Arial"/>
                <w:color w:val="808080"/>
                <w:sz w:val="18"/>
                <w:lang w:eastAsia="en-GB"/>
              </w:rPr>
              <w:t>April 2013.</w:t>
            </w:r>
          </w:p>
          <w:p w:rsidR="00280EC5" w:rsidRPr="00280EC5" w:rsidRDefault="00280EC5" w:rsidP="00280EC5">
            <w:pPr>
              <w:spacing w:after="80"/>
              <w:jc w:val="both"/>
              <w:rPr>
                <w:rFonts w:eastAsia="Calibri"/>
                <w:color w:val="auto"/>
                <w:spacing w:val="-4"/>
                <w:sz w:val="21"/>
                <w:szCs w:val="21"/>
              </w:rPr>
            </w:pPr>
            <w:r w:rsidRPr="00280EC5">
              <w:rPr>
                <w:rFonts w:eastAsia="Calibri"/>
                <w:color w:val="auto"/>
                <w:spacing w:val="-4"/>
                <w:sz w:val="21"/>
                <w:szCs w:val="21"/>
              </w:rPr>
              <w:t>For individual countries that have raised their rates of VAT in the past year, the distortion is even greater. For example, the annual inflation rate in the Netherlands was 3.2% in March, but excluding the impact of the increase in VAT (raised from 19% to 21% in October 2012), inflation is 1.6% - half o</w:t>
            </w:r>
            <w:r w:rsidR="005C7309">
              <w:rPr>
                <w:rFonts w:eastAsia="Calibri"/>
                <w:color w:val="auto"/>
                <w:spacing w:val="-4"/>
                <w:sz w:val="21"/>
                <w:szCs w:val="21"/>
              </w:rPr>
              <w:t>f the headline rate (see chart 8</w:t>
            </w:r>
            <w:r w:rsidRPr="00280EC5">
              <w:rPr>
                <w:rFonts w:eastAsia="Calibri"/>
                <w:color w:val="auto"/>
                <w:spacing w:val="-4"/>
                <w:sz w:val="21"/>
                <w:szCs w:val="21"/>
              </w:rPr>
              <w:t>).</w:t>
            </w:r>
          </w:p>
          <w:p w:rsidR="00280EC5" w:rsidRDefault="00280EC5" w:rsidP="00280EC5">
            <w:pPr>
              <w:pStyle w:val="Textosimples"/>
              <w:spacing w:after="120"/>
              <w:jc w:val="both"/>
              <w:rPr>
                <w:spacing w:val="-4"/>
                <w:sz w:val="21"/>
              </w:rPr>
            </w:pPr>
            <w:r w:rsidRPr="00280EC5">
              <w:rPr>
                <w:spacing w:val="-4"/>
                <w:sz w:val="21"/>
              </w:rPr>
              <w:t>Similarly, Spain’s headline inflation rate stood at 2.6% in March, however, when the impact of the increase in VAT (raised from 18% to 21% in September 2012), inflation is just 0.5% - less than a fifth o</w:t>
            </w:r>
            <w:r w:rsidR="005C7309">
              <w:rPr>
                <w:spacing w:val="-4"/>
                <w:sz w:val="21"/>
              </w:rPr>
              <w:t>f the headline rate (see chart 9</w:t>
            </w:r>
            <w:r w:rsidRPr="00280EC5">
              <w:rPr>
                <w:spacing w:val="-4"/>
                <w:sz w:val="21"/>
              </w:rPr>
              <w:t>).</w:t>
            </w:r>
          </w:p>
          <w:p w:rsidR="00593C7A" w:rsidRPr="00280EC5" w:rsidRDefault="00593C7A" w:rsidP="008F4501">
            <w:pPr>
              <w:pStyle w:val="Textosimples"/>
              <w:spacing w:after="120"/>
              <w:jc w:val="both"/>
              <w:rPr>
                <w:rFonts w:cs="Arial"/>
                <w:b/>
                <w:color w:val="000080"/>
                <w:sz w:val="21"/>
              </w:rPr>
            </w:pPr>
          </w:p>
          <w:p w:rsidR="00280EC5" w:rsidRPr="00642F47" w:rsidRDefault="00280EC5" w:rsidP="00280EC5">
            <w:pPr>
              <w:spacing w:before="240" w:after="120"/>
              <w:jc w:val="both"/>
              <w:rPr>
                <w:rFonts w:cs="Arial"/>
                <w:b/>
                <w:color w:val="001950"/>
                <w:sz w:val="21"/>
                <w:szCs w:val="21"/>
              </w:rPr>
            </w:pPr>
            <w:r>
              <w:rPr>
                <w:rFonts w:cs="Arial"/>
                <w:b/>
                <w:color w:val="001950"/>
                <w:sz w:val="21"/>
                <w:szCs w:val="21"/>
              </w:rPr>
              <w:t>Calling ‘Super’ Mario</w:t>
            </w:r>
          </w:p>
          <w:p w:rsidR="00280EC5" w:rsidRDefault="00280EC5" w:rsidP="00280EC5">
            <w:pPr>
              <w:spacing w:after="80"/>
              <w:jc w:val="both"/>
              <w:rPr>
                <w:rFonts w:cs="Arial"/>
                <w:sz w:val="21"/>
                <w:szCs w:val="21"/>
              </w:rPr>
            </w:pPr>
            <w:r>
              <w:rPr>
                <w:rFonts w:cs="Arial"/>
                <w:sz w:val="21"/>
                <w:szCs w:val="21"/>
              </w:rPr>
              <w:t>Leading indicators suggest the Eurozone recovery is in jeopardy, while inflation is falling, and is likely to fall further by the end of the year. Could the ECB intervene with additional monetary stimulus?</w:t>
            </w:r>
          </w:p>
          <w:p w:rsidR="00280EC5" w:rsidRDefault="00280EC5" w:rsidP="00280EC5">
            <w:pPr>
              <w:spacing w:after="80"/>
              <w:jc w:val="both"/>
              <w:rPr>
                <w:rFonts w:cs="Arial"/>
                <w:sz w:val="21"/>
                <w:szCs w:val="21"/>
              </w:rPr>
            </w:pPr>
            <w:r>
              <w:rPr>
                <w:rFonts w:cs="Arial"/>
                <w:sz w:val="21"/>
                <w:szCs w:val="21"/>
              </w:rPr>
              <w:t xml:space="preserve">Earlier this month, ECB President Mario Draghi said the executive committee was ready to act if the macro environment deteriorated further. The evidence presented in this note suggests that the ECB should act in the near future to support the economy. </w:t>
            </w:r>
          </w:p>
          <w:p w:rsidR="00280EC5" w:rsidRDefault="00280EC5" w:rsidP="00280EC5">
            <w:pPr>
              <w:spacing w:after="80"/>
              <w:jc w:val="both"/>
              <w:rPr>
                <w:rFonts w:cs="Arial"/>
                <w:sz w:val="21"/>
                <w:szCs w:val="21"/>
              </w:rPr>
            </w:pPr>
            <w:r>
              <w:rPr>
                <w:rFonts w:cs="Arial"/>
                <w:sz w:val="21"/>
                <w:szCs w:val="21"/>
              </w:rPr>
              <w:t xml:space="preserve">Options are limited for the central bank. The obvious action would be to cut the main policy interest rate (refinancing rate) from 0.75%, along with the marginal lending rate, currently at 1% (paid by banks that borrow more than the prescribed usual amounts). The ECB could also explore more non-standard </w:t>
            </w:r>
            <w:r w:rsidRPr="00720954">
              <w:rPr>
                <w:rFonts w:cs="Arial"/>
                <w:sz w:val="21"/>
                <w:szCs w:val="21"/>
              </w:rPr>
              <w:t>measures like providing liquidity through long-term refinancing operations</w:t>
            </w:r>
            <w:r>
              <w:rPr>
                <w:rFonts w:cs="Arial"/>
                <w:sz w:val="21"/>
                <w:szCs w:val="21"/>
              </w:rPr>
              <w:t xml:space="preserve"> (LTROs). However, liquidity appears to be plentiful, so much so that some banks have been repaying LTRO cash borrowed last year, while inter-bank interest rates are currently lower than the ECB’s main policy interest rate (a sign of excess liquidity, which would normally be mopped up through open market operations). </w:t>
            </w:r>
          </w:p>
          <w:p w:rsidR="00280EC5" w:rsidRDefault="00280EC5" w:rsidP="00280EC5">
            <w:pPr>
              <w:spacing w:after="80"/>
              <w:jc w:val="both"/>
              <w:rPr>
                <w:rFonts w:cs="Arial"/>
                <w:sz w:val="21"/>
                <w:szCs w:val="21"/>
              </w:rPr>
            </w:pPr>
            <w:r>
              <w:rPr>
                <w:rFonts w:cs="Arial"/>
                <w:sz w:val="21"/>
                <w:szCs w:val="21"/>
              </w:rPr>
              <w:t>Quantitative Easing (QE) is the obvious suggestion, and would help push investors out of government bonds, and into something more productive. However, the legality of quantitative easing by the ECB is still under question. We recently asked the ECB directly if QE was a possibility, the response was blunt and unequivocal - “…Article 123 of the Treaty on the Functioning of the European Union prohibits the monetary financing of governments through the ECB.”</w:t>
            </w:r>
          </w:p>
          <w:p w:rsidR="00280EC5" w:rsidRDefault="00280EC5" w:rsidP="00280EC5">
            <w:pPr>
              <w:spacing w:after="80"/>
              <w:jc w:val="both"/>
              <w:rPr>
                <w:rFonts w:cs="Arial"/>
                <w:sz w:val="21"/>
                <w:szCs w:val="21"/>
              </w:rPr>
            </w:pPr>
            <w:r>
              <w:rPr>
                <w:rFonts w:cs="Arial"/>
                <w:sz w:val="21"/>
                <w:szCs w:val="21"/>
              </w:rPr>
              <w:t xml:space="preserve">In fact at the time of writing, German newspaper Handesblatt published details of a leaked opinion written by the Bundesbank, that it opposed the ECB’s current bond </w:t>
            </w:r>
            <w:r>
              <w:rPr>
                <w:rFonts w:cs="Arial"/>
                <w:sz w:val="21"/>
                <w:szCs w:val="21"/>
              </w:rPr>
              <w:lastRenderedPageBreak/>
              <w:t>buying programme - outright monetary transactions (OMT). The opinion was submitted to the German constitutional court in its assessment of the OMT programme at the end of last year. Although the OMT programme has not been activated, it has been crucial in restoring confidence in peripheral government bonds, and the Euro itself.</w:t>
            </w:r>
          </w:p>
          <w:p w:rsidR="00280EC5" w:rsidRDefault="00280EC5" w:rsidP="00280EC5">
            <w:pPr>
              <w:spacing w:after="80"/>
              <w:jc w:val="both"/>
              <w:rPr>
                <w:rFonts w:cs="Arial"/>
                <w:sz w:val="21"/>
                <w:szCs w:val="21"/>
              </w:rPr>
            </w:pPr>
            <w:r>
              <w:rPr>
                <w:rFonts w:cs="Arial"/>
                <w:sz w:val="21"/>
                <w:szCs w:val="21"/>
              </w:rPr>
              <w:t>It seems that the common version of quantitative easing remains off the table for now, but there are signs that even the politics in Germany is changing. In a speech at the German Savings Banks</w:t>
            </w:r>
            <w:r w:rsidR="00D11FC7">
              <w:rPr>
                <w:rFonts w:cs="Arial"/>
                <w:sz w:val="21"/>
                <w:szCs w:val="21"/>
              </w:rPr>
              <w:t>’</w:t>
            </w:r>
            <w:r>
              <w:rPr>
                <w:rFonts w:cs="Arial"/>
                <w:sz w:val="21"/>
                <w:szCs w:val="21"/>
              </w:rPr>
              <w:t xml:space="preserve"> day in </w:t>
            </w:r>
            <w:r w:rsidR="00D11FC7">
              <w:rPr>
                <w:rFonts w:cs="Arial"/>
                <w:sz w:val="21"/>
                <w:szCs w:val="21"/>
              </w:rPr>
              <w:t>Dresden</w:t>
            </w:r>
            <w:r>
              <w:rPr>
                <w:rFonts w:cs="Arial"/>
                <w:sz w:val="21"/>
                <w:szCs w:val="21"/>
              </w:rPr>
              <w:t>, German Chancellor Angela Merkel unusually commented on monetary policy, and specifically, the need to address the broken transmission mechanism in peripheral Europe, referring to gains in competitiveness made through structural reforms, but lost to higher interest rates. On the face of it, this looks like a big step forward from Merkel, however, it’s worth remembering that Merkel is fighting for re-election, which appears to bring about sudden waves of pro-peripheral comments, only to be followed by back-peddling or unexpected conditions (the Spanish banking recapitalisation programme is just one example).</w:t>
            </w:r>
          </w:p>
          <w:p w:rsidR="00280EC5" w:rsidRDefault="00280EC5" w:rsidP="00280EC5">
            <w:pPr>
              <w:spacing w:after="80"/>
              <w:jc w:val="both"/>
              <w:rPr>
                <w:rFonts w:cs="Arial"/>
                <w:sz w:val="21"/>
                <w:szCs w:val="21"/>
              </w:rPr>
            </w:pPr>
            <w:r>
              <w:rPr>
                <w:rFonts w:cs="Arial"/>
                <w:sz w:val="21"/>
                <w:szCs w:val="21"/>
              </w:rPr>
              <w:t xml:space="preserve">In our view, Mario Draghi must take charge of the ECB’s executive committee, and push for more stimulus for the economy. We are changing our forecast for base rates in expectation of a 25 basis point reduction in the forthcoming May meeting. However, we doubt the ECB is ready to offer much more than the rate cut at this stage. This is unfortunate as we doubt the rate cut would have much of an impact on the economy. Banks that are able to lend have plentiful liquidity as mentioned above. Banks which are generally more reliant on the ECB for funding are likely to be shrinking their balance sheets, and so would not pass on a rate cut in the form of new lending. Instead, Draghi needs to challenge the ECB’s legal framework and begin to discuss QE as a potential policy option. It must be discussed as a deflation fighting tool rather than a tool to monetise debt, which is how it has been portrayed over the past few years in Europe. </w:t>
            </w:r>
          </w:p>
          <w:p w:rsidR="00280EC5" w:rsidRDefault="00280EC5" w:rsidP="00280EC5">
            <w:pPr>
              <w:spacing w:after="80"/>
              <w:jc w:val="both"/>
              <w:rPr>
                <w:rFonts w:cs="Arial"/>
                <w:noProof/>
                <w:sz w:val="21"/>
                <w:szCs w:val="21"/>
              </w:rPr>
            </w:pPr>
          </w:p>
          <w:p w:rsidR="00C26C61" w:rsidRPr="009668EE" w:rsidRDefault="00C37529" w:rsidP="00C26C61">
            <w:pPr>
              <w:spacing w:after="240"/>
              <w:jc w:val="both"/>
              <w:rPr>
                <w:rFonts w:cs="Arial"/>
                <w:b/>
                <w:color w:val="001950"/>
                <w:sz w:val="24"/>
                <w:szCs w:val="28"/>
                <w:lang w:eastAsia="en-GB"/>
              </w:rPr>
            </w:pPr>
            <w:r>
              <w:rPr>
                <w:rFonts w:cs="Arial"/>
                <w:b/>
                <w:color w:val="001950"/>
                <w:sz w:val="24"/>
                <w:szCs w:val="28"/>
                <w:lang w:eastAsia="en-GB"/>
              </w:rPr>
              <w:t>I</w:t>
            </w:r>
            <w:r w:rsidR="0080297B" w:rsidRPr="009668EE">
              <w:rPr>
                <w:rFonts w:cs="Arial"/>
                <w:b/>
                <w:color w:val="001950"/>
                <w:sz w:val="24"/>
                <w:szCs w:val="28"/>
                <w:lang w:eastAsia="en-GB"/>
              </w:rPr>
              <w:t xml:space="preserve">s </w:t>
            </w:r>
            <w:r>
              <w:rPr>
                <w:rFonts w:cs="Arial"/>
                <w:b/>
                <w:color w:val="001950"/>
                <w:sz w:val="24"/>
                <w:szCs w:val="28"/>
                <w:lang w:eastAsia="en-GB"/>
              </w:rPr>
              <w:t xml:space="preserve">the </w:t>
            </w:r>
            <w:r w:rsidR="00001895">
              <w:rPr>
                <w:rFonts w:cs="Arial"/>
                <w:b/>
                <w:color w:val="001950"/>
                <w:sz w:val="24"/>
                <w:szCs w:val="28"/>
                <w:lang w:eastAsia="en-GB"/>
              </w:rPr>
              <w:t xml:space="preserve">Chinese </w:t>
            </w:r>
            <w:r>
              <w:rPr>
                <w:rFonts w:cs="Arial"/>
                <w:b/>
                <w:color w:val="001950"/>
                <w:sz w:val="24"/>
                <w:szCs w:val="28"/>
                <w:lang w:eastAsia="en-GB"/>
              </w:rPr>
              <w:t>economy</w:t>
            </w:r>
            <w:r w:rsidR="0080297B" w:rsidRPr="009668EE">
              <w:rPr>
                <w:rFonts w:cs="Arial"/>
                <w:b/>
                <w:color w:val="001950"/>
                <w:sz w:val="24"/>
                <w:szCs w:val="28"/>
                <w:lang w:eastAsia="en-GB"/>
              </w:rPr>
              <w:t xml:space="preserve"> rebalancing</w:t>
            </w:r>
            <w:r>
              <w:rPr>
                <w:rFonts w:cs="Arial"/>
                <w:b/>
                <w:color w:val="001950"/>
                <w:sz w:val="24"/>
                <w:szCs w:val="28"/>
                <w:lang w:eastAsia="en-GB"/>
              </w:rPr>
              <w:t>?</w:t>
            </w:r>
          </w:p>
          <w:p w:rsidR="0080297B" w:rsidRPr="0080297B" w:rsidRDefault="0080297B" w:rsidP="009668EE">
            <w:pPr>
              <w:spacing w:after="120"/>
              <w:jc w:val="both"/>
              <w:rPr>
                <w:rFonts w:cs="Arial"/>
                <w:b/>
                <w:color w:val="001950"/>
                <w:sz w:val="28"/>
                <w:szCs w:val="28"/>
                <w:lang w:eastAsia="en-GB"/>
              </w:rPr>
            </w:pPr>
            <w:r w:rsidRPr="0080297B">
              <w:rPr>
                <w:rFonts w:cs="Arial"/>
                <w:color w:val="auto"/>
                <w:sz w:val="21"/>
                <w:szCs w:val="21"/>
                <w:lang w:eastAsia="en-GB"/>
              </w:rPr>
              <w:t xml:space="preserve">It is often commented that the Chinese economy exhibits destabilising imbalances, with investment spending having risen strongly in recent years and far outstripping private consumption as a share of GDP. However, there are reasons to believe that this high level of investment can persist for longer than many commentators suggest. The recent first quarter GDP release continued to suggest </w:t>
            </w:r>
            <w:r w:rsidR="00001895">
              <w:rPr>
                <w:rFonts w:cs="Arial"/>
                <w:color w:val="auto"/>
                <w:sz w:val="21"/>
                <w:szCs w:val="21"/>
                <w:lang w:eastAsia="en-GB"/>
              </w:rPr>
              <w:t xml:space="preserve">that </w:t>
            </w:r>
            <w:r w:rsidRPr="0080297B">
              <w:rPr>
                <w:rFonts w:cs="Arial"/>
                <w:color w:val="auto"/>
                <w:sz w:val="21"/>
                <w:szCs w:val="21"/>
                <w:lang w:eastAsia="en-GB"/>
              </w:rPr>
              <w:t>the much vaunted rebalancing towards domestic consumption and away from investment has started, but it is likely be a long and slow progress.</w:t>
            </w:r>
          </w:p>
          <w:p w:rsidR="0080297B" w:rsidRPr="0080297B" w:rsidRDefault="0080297B" w:rsidP="0080297B">
            <w:pPr>
              <w:spacing w:after="120"/>
              <w:jc w:val="both"/>
              <w:rPr>
                <w:rFonts w:cs="Arial"/>
                <w:color w:val="auto"/>
                <w:sz w:val="21"/>
                <w:szCs w:val="21"/>
                <w:lang w:eastAsia="en-GB"/>
              </w:rPr>
            </w:pPr>
            <w:r w:rsidRPr="0080297B">
              <w:rPr>
                <w:rFonts w:cs="Arial"/>
                <w:color w:val="auto"/>
                <w:sz w:val="21"/>
                <w:szCs w:val="21"/>
                <w:lang w:eastAsia="en-GB"/>
              </w:rPr>
              <w:t xml:space="preserve">Aside from the surprise fall in </w:t>
            </w:r>
            <w:r w:rsidR="00397AC5">
              <w:rPr>
                <w:rFonts w:cs="Arial"/>
                <w:color w:val="auto"/>
                <w:sz w:val="21"/>
                <w:szCs w:val="21"/>
                <w:lang w:eastAsia="en-GB"/>
              </w:rPr>
              <w:t xml:space="preserve">first quarter </w:t>
            </w:r>
            <w:r w:rsidRPr="0080297B">
              <w:rPr>
                <w:rFonts w:cs="Arial"/>
                <w:color w:val="auto"/>
                <w:sz w:val="21"/>
                <w:szCs w:val="21"/>
                <w:lang w:eastAsia="en-GB"/>
              </w:rPr>
              <w:t xml:space="preserve">GDP growth </w:t>
            </w:r>
            <w:r w:rsidR="00397AC5">
              <w:rPr>
                <w:rFonts w:cs="Arial"/>
                <w:color w:val="auto"/>
                <w:sz w:val="21"/>
                <w:szCs w:val="21"/>
                <w:lang w:eastAsia="en-GB"/>
              </w:rPr>
              <w:t>to 7.7% (from 7.9% in the fourth quarter</w:t>
            </w:r>
            <w:r w:rsidRPr="0080297B">
              <w:rPr>
                <w:rFonts w:cs="Arial"/>
                <w:color w:val="auto"/>
                <w:sz w:val="21"/>
                <w:szCs w:val="21"/>
                <w:lang w:eastAsia="en-GB"/>
              </w:rPr>
              <w:t xml:space="preserve">), an interesting insight was provided by the breakdown of spending contributions. Final consumption (including from the government) contributed 4.3 percentage points (ppts) of growth, fixed capital investment 2.3ppts and net exports the final 1.1ppts. As we can see from chart </w:t>
            </w:r>
            <w:r w:rsidR="00397AC5">
              <w:rPr>
                <w:rFonts w:cs="Arial"/>
                <w:color w:val="auto"/>
                <w:sz w:val="21"/>
                <w:szCs w:val="21"/>
                <w:lang w:eastAsia="en-GB"/>
              </w:rPr>
              <w:t>10</w:t>
            </w:r>
            <w:r w:rsidRPr="0080297B">
              <w:rPr>
                <w:rFonts w:cs="Arial"/>
                <w:color w:val="auto"/>
                <w:sz w:val="21"/>
                <w:szCs w:val="21"/>
                <w:lang w:eastAsia="en-GB"/>
              </w:rPr>
              <w:t xml:space="preserve">, the contribution to growth from consumption has been fairly stable since the financial crisis, usually contributing between 4 and 4.5 percentage points of growth. Instead, it is investment spending and the contribution of net exports which have been the most volatile, and which have subsequently caused the swings in the headline growth number. </w:t>
            </w:r>
          </w:p>
          <w:p w:rsidR="00694301" w:rsidRPr="004A029A" w:rsidRDefault="0080297B" w:rsidP="006B047F">
            <w:pPr>
              <w:pStyle w:val="Textosimples"/>
              <w:jc w:val="both"/>
              <w:rPr>
                <w:rFonts w:cs="Arial"/>
                <w:b/>
                <w:color w:val="001950"/>
                <w:sz w:val="21"/>
                <w:lang w:eastAsia="en-GB"/>
              </w:rPr>
            </w:pPr>
            <w:r>
              <w:rPr>
                <w:rFonts w:cs="Arial"/>
                <w:b/>
                <w:color w:val="001950"/>
                <w:sz w:val="21"/>
                <w:lang w:eastAsia="en-GB"/>
              </w:rPr>
              <w:t xml:space="preserve">Chart </w:t>
            </w:r>
            <w:r w:rsidR="005C7309">
              <w:rPr>
                <w:rFonts w:cs="Arial"/>
                <w:b/>
                <w:color w:val="001950"/>
                <w:sz w:val="21"/>
                <w:lang w:eastAsia="en-GB"/>
              </w:rPr>
              <w:t>10</w:t>
            </w:r>
            <w:r>
              <w:rPr>
                <w:rFonts w:cs="Arial"/>
                <w:b/>
                <w:color w:val="001950"/>
                <w:sz w:val="21"/>
                <w:lang w:eastAsia="en-GB"/>
              </w:rPr>
              <w:t>: Investment has been the drag on growth</w:t>
            </w:r>
          </w:p>
          <w:p w:rsidR="00694301" w:rsidRPr="00D60A1F" w:rsidRDefault="00295A04" w:rsidP="006B047F">
            <w:pPr>
              <w:jc w:val="both"/>
              <w:rPr>
                <w:rFonts w:eastAsia="Calibri"/>
                <w:color w:val="auto"/>
                <w:spacing w:val="-4"/>
                <w:sz w:val="21"/>
                <w:szCs w:val="21"/>
              </w:rPr>
            </w:pPr>
            <w:r>
              <w:rPr>
                <w:rFonts w:eastAsia="Calibri"/>
                <w:noProof/>
                <w:color w:val="auto"/>
                <w:spacing w:val="-4"/>
                <w:sz w:val="21"/>
                <w:szCs w:val="21"/>
                <w:lang w:val="pt-PT" w:eastAsia="pt-PT"/>
              </w:rPr>
              <w:lastRenderedPageBreak/>
              <w:drawing>
                <wp:inline distT="0" distB="0" distL="0" distR="0">
                  <wp:extent cx="4882515" cy="2784475"/>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4882515" cy="2784475"/>
                          </a:xfrm>
                          <a:prstGeom prst="rect">
                            <a:avLst/>
                          </a:prstGeom>
                          <a:noFill/>
                          <a:ln w="9525">
                            <a:noFill/>
                            <a:miter lim="800000"/>
                            <a:headEnd/>
                            <a:tailEnd/>
                          </a:ln>
                        </pic:spPr>
                      </pic:pic>
                    </a:graphicData>
                  </a:graphic>
                </wp:inline>
              </w:drawing>
            </w:r>
          </w:p>
          <w:p w:rsidR="00694301" w:rsidRDefault="00694301" w:rsidP="008F4501">
            <w:pPr>
              <w:spacing w:after="120"/>
              <w:jc w:val="both"/>
              <w:rPr>
                <w:rFonts w:cs="Arial"/>
                <w:color w:val="808080"/>
                <w:sz w:val="18"/>
                <w:lang w:eastAsia="en-GB"/>
              </w:rPr>
            </w:pPr>
            <w:r>
              <w:rPr>
                <w:rFonts w:cs="Arial"/>
                <w:color w:val="808080"/>
                <w:sz w:val="18"/>
                <w:lang w:eastAsia="en-GB"/>
              </w:rPr>
              <w:t>Source: Thomson</w:t>
            </w:r>
            <w:r w:rsidR="0080297B">
              <w:rPr>
                <w:rFonts w:cs="Arial"/>
                <w:color w:val="808080"/>
                <w:sz w:val="18"/>
                <w:lang w:eastAsia="en-GB"/>
              </w:rPr>
              <w:t xml:space="preserve"> Datastream, Schroders. 24 April</w:t>
            </w:r>
            <w:r>
              <w:rPr>
                <w:rFonts w:cs="Arial"/>
                <w:color w:val="808080"/>
                <w:sz w:val="18"/>
                <w:lang w:eastAsia="en-GB"/>
              </w:rPr>
              <w:t xml:space="preserve"> 2013</w:t>
            </w:r>
          </w:p>
          <w:p w:rsidR="0080297B" w:rsidRPr="0080297B" w:rsidRDefault="0080297B" w:rsidP="0080297B">
            <w:pPr>
              <w:spacing w:after="120"/>
              <w:jc w:val="both"/>
              <w:rPr>
                <w:rFonts w:cs="Arial"/>
                <w:color w:val="auto"/>
                <w:sz w:val="21"/>
                <w:szCs w:val="21"/>
                <w:lang w:eastAsia="en-GB"/>
              </w:rPr>
            </w:pPr>
            <w:r w:rsidRPr="0080297B">
              <w:rPr>
                <w:rFonts w:cs="Arial"/>
                <w:color w:val="auto"/>
                <w:sz w:val="21"/>
                <w:szCs w:val="21"/>
                <w:lang w:eastAsia="en-GB"/>
              </w:rPr>
              <w:t xml:space="preserve">With a burgeoning middle class, the growth of Chinese consumption is a long-run, structural trend, more resilient to cyclical swings than investment, an area more sensitive to the business cycle.  Additionally, we would also expect to see economic development lead to an increasingly important services sector, and a smaller share for the manufacturing sector, and this can be seen in the supply-side breakdown of GDP (chart </w:t>
            </w:r>
            <w:r w:rsidR="00397AC5">
              <w:rPr>
                <w:rFonts w:cs="Arial"/>
                <w:color w:val="auto"/>
                <w:sz w:val="21"/>
                <w:szCs w:val="21"/>
                <w:lang w:eastAsia="en-GB"/>
              </w:rPr>
              <w:t>11</w:t>
            </w:r>
            <w:r w:rsidRPr="0080297B">
              <w:rPr>
                <w:rFonts w:cs="Arial"/>
                <w:color w:val="auto"/>
                <w:sz w:val="21"/>
                <w:szCs w:val="21"/>
                <w:lang w:eastAsia="en-GB"/>
              </w:rPr>
              <w:t xml:space="preserve">). The slowdown we have seen since 2010 has come primarily through a reduced contribution to growth from the “secondary sector”, which consists of the production of physical goods and construction. Although the “tertiary” (services) sector has also slowed somewhat over the same timeframe, it has been more resilient, highlighting the growing structural importance of this sector for Chinese development. </w:t>
            </w:r>
          </w:p>
          <w:p w:rsidR="00055E36" w:rsidRDefault="00055E36" w:rsidP="008F4501">
            <w:pPr>
              <w:pStyle w:val="Textosimples"/>
              <w:spacing w:after="120"/>
              <w:jc w:val="both"/>
              <w:rPr>
                <w:rFonts w:cs="Arial"/>
                <w:b/>
                <w:color w:val="001950"/>
                <w:sz w:val="21"/>
                <w:lang w:eastAsia="en-GB"/>
              </w:rPr>
            </w:pPr>
          </w:p>
          <w:p w:rsidR="00055E36" w:rsidRDefault="00055E36" w:rsidP="008F4501">
            <w:pPr>
              <w:pStyle w:val="Textosimples"/>
              <w:spacing w:after="120"/>
              <w:jc w:val="both"/>
              <w:rPr>
                <w:rFonts w:cs="Arial"/>
                <w:b/>
                <w:color w:val="001950"/>
                <w:sz w:val="21"/>
                <w:lang w:eastAsia="en-GB"/>
              </w:rPr>
            </w:pPr>
          </w:p>
          <w:p w:rsidR="009668EE" w:rsidRDefault="009668EE" w:rsidP="008F4501">
            <w:pPr>
              <w:pStyle w:val="Textosimples"/>
              <w:spacing w:after="120"/>
              <w:jc w:val="both"/>
              <w:rPr>
                <w:rFonts w:cs="Arial"/>
                <w:b/>
                <w:color w:val="001950"/>
                <w:sz w:val="21"/>
                <w:lang w:eastAsia="en-GB"/>
              </w:rPr>
            </w:pPr>
          </w:p>
          <w:p w:rsidR="00055E36" w:rsidRDefault="00055E36" w:rsidP="008F4501">
            <w:pPr>
              <w:pStyle w:val="Textosimples"/>
              <w:spacing w:after="120"/>
              <w:jc w:val="both"/>
              <w:rPr>
                <w:rFonts w:cs="Arial"/>
                <w:b/>
                <w:color w:val="001950"/>
                <w:sz w:val="21"/>
                <w:lang w:eastAsia="en-GB"/>
              </w:rPr>
            </w:pPr>
          </w:p>
          <w:p w:rsidR="0080297B" w:rsidRDefault="0080297B" w:rsidP="008F4501">
            <w:pPr>
              <w:pStyle w:val="Textosimples"/>
              <w:spacing w:after="120"/>
              <w:jc w:val="both"/>
              <w:rPr>
                <w:rFonts w:cs="Arial"/>
                <w:b/>
                <w:color w:val="001950"/>
                <w:sz w:val="21"/>
                <w:lang w:eastAsia="en-GB"/>
              </w:rPr>
            </w:pPr>
          </w:p>
          <w:p w:rsidR="00750D98" w:rsidRPr="004A029A" w:rsidRDefault="0080297B" w:rsidP="006B047F">
            <w:pPr>
              <w:pStyle w:val="Textosimples"/>
              <w:jc w:val="both"/>
              <w:rPr>
                <w:rFonts w:cs="Arial"/>
                <w:b/>
                <w:color w:val="001950"/>
                <w:sz w:val="21"/>
                <w:lang w:eastAsia="en-GB"/>
              </w:rPr>
            </w:pPr>
            <w:r>
              <w:rPr>
                <w:rFonts w:cs="Arial"/>
                <w:b/>
                <w:color w:val="001950"/>
                <w:sz w:val="21"/>
                <w:lang w:eastAsia="en-GB"/>
              </w:rPr>
              <w:t xml:space="preserve">Chart </w:t>
            </w:r>
            <w:r w:rsidR="005C7309">
              <w:rPr>
                <w:rFonts w:cs="Arial"/>
                <w:b/>
                <w:color w:val="001950"/>
                <w:sz w:val="21"/>
                <w:lang w:eastAsia="en-GB"/>
              </w:rPr>
              <w:t>11</w:t>
            </w:r>
            <w:r>
              <w:rPr>
                <w:rFonts w:cs="Arial"/>
                <w:b/>
                <w:color w:val="001950"/>
                <w:sz w:val="21"/>
                <w:lang w:eastAsia="en-GB"/>
              </w:rPr>
              <w:t>: The service sector has been more resilient than manufacturing</w:t>
            </w:r>
          </w:p>
          <w:p w:rsidR="00D60A1F" w:rsidRPr="00D60A1F" w:rsidRDefault="00295A04" w:rsidP="00EA2A00">
            <w:pPr>
              <w:spacing w:after="40"/>
              <w:jc w:val="both"/>
              <w:rPr>
                <w:rFonts w:eastAsia="Calibri"/>
                <w:color w:val="auto"/>
                <w:spacing w:val="-4"/>
                <w:sz w:val="21"/>
                <w:szCs w:val="21"/>
              </w:rPr>
            </w:pPr>
            <w:r>
              <w:rPr>
                <w:rFonts w:eastAsia="Calibri"/>
                <w:noProof/>
                <w:color w:val="auto"/>
                <w:spacing w:val="-4"/>
                <w:sz w:val="21"/>
                <w:szCs w:val="21"/>
                <w:lang w:val="pt-PT" w:eastAsia="pt-PT"/>
              </w:rPr>
              <w:drawing>
                <wp:inline distT="0" distB="0" distL="0" distR="0">
                  <wp:extent cx="4976495" cy="2830830"/>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4976495" cy="2830830"/>
                          </a:xfrm>
                          <a:prstGeom prst="rect">
                            <a:avLst/>
                          </a:prstGeom>
                          <a:noFill/>
                          <a:ln w="9525">
                            <a:noFill/>
                            <a:miter lim="800000"/>
                            <a:headEnd/>
                            <a:tailEnd/>
                          </a:ln>
                        </pic:spPr>
                      </pic:pic>
                    </a:graphicData>
                  </a:graphic>
                </wp:inline>
              </w:drawing>
            </w:r>
          </w:p>
          <w:p w:rsidR="00750D98" w:rsidRDefault="00750D98" w:rsidP="008F4501">
            <w:pPr>
              <w:spacing w:after="120"/>
              <w:jc w:val="both"/>
              <w:rPr>
                <w:rFonts w:cs="Arial"/>
                <w:color w:val="808080"/>
                <w:sz w:val="18"/>
                <w:lang w:eastAsia="en-GB"/>
              </w:rPr>
            </w:pPr>
            <w:r>
              <w:rPr>
                <w:rFonts w:cs="Arial"/>
                <w:color w:val="808080"/>
                <w:sz w:val="18"/>
                <w:lang w:eastAsia="en-GB"/>
              </w:rPr>
              <w:lastRenderedPageBreak/>
              <w:t>Source: Thomson</w:t>
            </w:r>
            <w:r w:rsidR="0080297B">
              <w:rPr>
                <w:rFonts w:cs="Arial"/>
                <w:color w:val="808080"/>
                <w:sz w:val="18"/>
                <w:lang w:eastAsia="en-GB"/>
              </w:rPr>
              <w:t xml:space="preserve"> Datastream, Schroders. 24 April</w:t>
            </w:r>
            <w:r>
              <w:rPr>
                <w:rFonts w:cs="Arial"/>
                <w:color w:val="808080"/>
                <w:sz w:val="18"/>
                <w:lang w:eastAsia="en-GB"/>
              </w:rPr>
              <w:t xml:space="preserve"> 2013</w:t>
            </w:r>
          </w:p>
          <w:p w:rsidR="0080297B" w:rsidRPr="0080297B" w:rsidRDefault="0080297B" w:rsidP="00EA2A00">
            <w:pPr>
              <w:spacing w:after="120"/>
              <w:jc w:val="both"/>
              <w:rPr>
                <w:rFonts w:cs="Arial"/>
                <w:color w:val="auto"/>
                <w:sz w:val="21"/>
                <w:szCs w:val="21"/>
                <w:lang w:eastAsia="en-GB"/>
              </w:rPr>
            </w:pPr>
            <w:r w:rsidRPr="0080297B">
              <w:rPr>
                <w:rFonts w:cs="Arial"/>
                <w:color w:val="auto"/>
                <w:sz w:val="21"/>
                <w:szCs w:val="21"/>
                <w:lang w:eastAsia="en-GB"/>
              </w:rPr>
              <w:t>Detailed data on the tertiary sector has only recently been made available, but we have seen an increased contribution to growth from the real estate services sector since the middle of last year, which is unsurprising given the improvements we have seen in sales volumes in the property market. Despite the strength of retail sales data recently, however, the retail and wholesale service sector’s growth contribution has been declining in recent quarters. Nonetheless, retail remains the dominant service sector in terms of its contribution to growth.</w:t>
            </w:r>
          </w:p>
          <w:p w:rsidR="0080297B" w:rsidRPr="0080297B" w:rsidRDefault="0080297B" w:rsidP="00EA2A00">
            <w:pPr>
              <w:spacing w:after="120"/>
              <w:jc w:val="both"/>
              <w:rPr>
                <w:rFonts w:cs="Arial"/>
                <w:color w:val="auto"/>
                <w:sz w:val="21"/>
                <w:szCs w:val="21"/>
                <w:lang w:eastAsia="en-GB"/>
              </w:rPr>
            </w:pPr>
            <w:r w:rsidRPr="0080297B">
              <w:rPr>
                <w:rFonts w:cs="Arial"/>
                <w:color w:val="auto"/>
                <w:sz w:val="21"/>
                <w:szCs w:val="21"/>
                <w:lang w:eastAsia="en-GB"/>
              </w:rPr>
              <w:t>While there are likely to be cyclical disturbances, structurally we should continue see a rise in the growth contribution of the services and consumption sectors somewhat offset a decline in the manufacturing and investment contributions, as China grows in wealth. However, this is likely to be a gradual process, and suggestions that this rebalancing towards consumption spells the end investment boom may be premature for a couple of key reasons.</w:t>
            </w:r>
          </w:p>
          <w:p w:rsidR="0080297B" w:rsidRDefault="0080297B" w:rsidP="00EA2A00">
            <w:pPr>
              <w:spacing w:after="120"/>
              <w:jc w:val="both"/>
              <w:rPr>
                <w:rFonts w:cs="Arial"/>
                <w:color w:val="auto"/>
                <w:sz w:val="21"/>
                <w:szCs w:val="21"/>
                <w:lang w:eastAsia="en-GB"/>
              </w:rPr>
            </w:pPr>
            <w:r w:rsidRPr="00A10BCD">
              <w:rPr>
                <w:rFonts w:cs="Arial"/>
                <w:color w:val="auto"/>
                <w:sz w:val="21"/>
                <w:szCs w:val="21"/>
                <w:lang w:eastAsia="en-GB"/>
              </w:rPr>
              <w:t>First and foremost, the ongoing urbanisation process in China will remain supportive of heavy investment programmes. Just over 50% of the Chinese population are urbanised currently, and the authorities have announced a target of 60% by 2020. Although the urban population has grown sharply in China over the past decade, the parallels with the experience of Korea around 35 years ago suggests that this strong growth can continue for many years to come</w:t>
            </w:r>
            <w:r w:rsidR="00EC7972">
              <w:rPr>
                <w:rFonts w:cs="Arial"/>
                <w:color w:val="auto"/>
                <w:sz w:val="21"/>
                <w:szCs w:val="21"/>
                <w:lang w:eastAsia="en-GB"/>
              </w:rPr>
              <w:t xml:space="preserve"> (chart 12</w:t>
            </w:r>
            <w:r w:rsidRPr="00A10BCD">
              <w:rPr>
                <w:rFonts w:cs="Arial"/>
                <w:color w:val="auto"/>
                <w:sz w:val="21"/>
                <w:szCs w:val="21"/>
                <w:lang w:eastAsia="en-GB"/>
              </w:rPr>
              <w:t>). After reaching a similar stage of the urbanisation process that China is currently facing, the urbanisation rate of Korea continued to grow a further twenty percentage points in just over a decade. The demands this process places on housing and infrastructure maintains a need for heavy investment spending.</w:t>
            </w:r>
          </w:p>
          <w:p w:rsidR="0080297B" w:rsidRDefault="0080297B" w:rsidP="008F4501">
            <w:pPr>
              <w:spacing w:after="80"/>
              <w:jc w:val="both"/>
              <w:rPr>
                <w:rFonts w:cs="Arial"/>
                <w:color w:val="auto"/>
                <w:sz w:val="21"/>
                <w:szCs w:val="21"/>
                <w:lang w:eastAsia="en-GB"/>
              </w:rPr>
            </w:pPr>
          </w:p>
          <w:p w:rsidR="00A10BCD" w:rsidRDefault="00A10BCD" w:rsidP="008F4501">
            <w:pPr>
              <w:spacing w:after="80"/>
              <w:jc w:val="both"/>
              <w:rPr>
                <w:rFonts w:cs="Arial"/>
                <w:color w:val="auto"/>
                <w:sz w:val="21"/>
                <w:szCs w:val="21"/>
                <w:lang w:eastAsia="en-GB"/>
              </w:rPr>
            </w:pPr>
          </w:p>
          <w:p w:rsidR="00A10BCD" w:rsidRDefault="00A10BCD" w:rsidP="008F4501">
            <w:pPr>
              <w:spacing w:after="80"/>
              <w:jc w:val="both"/>
              <w:rPr>
                <w:rFonts w:cs="Arial"/>
                <w:color w:val="auto"/>
                <w:sz w:val="21"/>
                <w:szCs w:val="21"/>
                <w:lang w:eastAsia="en-GB"/>
              </w:rPr>
            </w:pPr>
          </w:p>
          <w:p w:rsidR="00A10BCD" w:rsidRDefault="00A10BCD" w:rsidP="008F4501">
            <w:pPr>
              <w:spacing w:after="80"/>
              <w:jc w:val="both"/>
              <w:rPr>
                <w:rFonts w:cs="Arial"/>
                <w:color w:val="auto"/>
                <w:sz w:val="21"/>
                <w:szCs w:val="21"/>
                <w:lang w:eastAsia="en-GB"/>
              </w:rPr>
            </w:pPr>
          </w:p>
          <w:p w:rsidR="00A10BCD" w:rsidRDefault="00A10BCD" w:rsidP="008F4501">
            <w:pPr>
              <w:spacing w:after="80"/>
              <w:jc w:val="both"/>
              <w:rPr>
                <w:rFonts w:cs="Arial"/>
                <w:color w:val="auto"/>
                <w:sz w:val="21"/>
                <w:szCs w:val="21"/>
                <w:lang w:eastAsia="en-GB"/>
              </w:rPr>
            </w:pPr>
          </w:p>
          <w:p w:rsidR="00A10BCD" w:rsidRDefault="00A10BCD" w:rsidP="008F4501">
            <w:pPr>
              <w:spacing w:after="80"/>
              <w:jc w:val="both"/>
              <w:rPr>
                <w:rFonts w:cs="Arial"/>
                <w:color w:val="auto"/>
                <w:sz w:val="21"/>
                <w:szCs w:val="21"/>
                <w:lang w:eastAsia="en-GB"/>
              </w:rPr>
            </w:pPr>
          </w:p>
          <w:p w:rsidR="00A10BCD" w:rsidRDefault="00A10BCD" w:rsidP="008F4501">
            <w:pPr>
              <w:spacing w:after="80"/>
              <w:jc w:val="both"/>
              <w:rPr>
                <w:rFonts w:cs="Arial"/>
                <w:color w:val="auto"/>
                <w:sz w:val="21"/>
                <w:szCs w:val="21"/>
                <w:lang w:eastAsia="en-GB"/>
              </w:rPr>
            </w:pPr>
          </w:p>
          <w:p w:rsidR="00A10BCD" w:rsidRDefault="00A10BCD" w:rsidP="008F4501">
            <w:pPr>
              <w:spacing w:after="80"/>
              <w:jc w:val="both"/>
              <w:rPr>
                <w:rFonts w:cs="Arial"/>
                <w:color w:val="auto"/>
                <w:sz w:val="21"/>
                <w:szCs w:val="21"/>
                <w:lang w:eastAsia="en-GB"/>
              </w:rPr>
            </w:pPr>
          </w:p>
          <w:p w:rsidR="00A10BCD" w:rsidRDefault="00A10BCD" w:rsidP="008F4501">
            <w:pPr>
              <w:spacing w:after="80"/>
              <w:jc w:val="both"/>
              <w:rPr>
                <w:rFonts w:cs="Arial"/>
                <w:color w:val="auto"/>
                <w:sz w:val="21"/>
                <w:szCs w:val="21"/>
                <w:lang w:eastAsia="en-GB"/>
              </w:rPr>
            </w:pPr>
          </w:p>
          <w:p w:rsidR="00A10BCD" w:rsidRDefault="00A10BCD" w:rsidP="008F4501">
            <w:pPr>
              <w:spacing w:after="80"/>
              <w:jc w:val="both"/>
              <w:rPr>
                <w:rFonts w:cs="Arial"/>
                <w:color w:val="auto"/>
                <w:sz w:val="21"/>
                <w:szCs w:val="21"/>
                <w:lang w:eastAsia="en-GB"/>
              </w:rPr>
            </w:pPr>
          </w:p>
          <w:p w:rsidR="00750D98" w:rsidRPr="004A029A" w:rsidRDefault="00A10BCD" w:rsidP="006B047F">
            <w:pPr>
              <w:pStyle w:val="Textosimples"/>
              <w:jc w:val="both"/>
              <w:rPr>
                <w:rFonts w:cs="Arial"/>
                <w:b/>
                <w:color w:val="001950"/>
                <w:sz w:val="21"/>
                <w:lang w:eastAsia="en-GB"/>
              </w:rPr>
            </w:pPr>
            <w:r>
              <w:rPr>
                <w:rFonts w:cs="Arial"/>
                <w:b/>
                <w:color w:val="001950"/>
                <w:sz w:val="21"/>
                <w:lang w:eastAsia="en-GB"/>
              </w:rPr>
              <w:t xml:space="preserve">Chart </w:t>
            </w:r>
            <w:r w:rsidR="005C7309">
              <w:rPr>
                <w:rFonts w:cs="Arial"/>
                <w:b/>
                <w:color w:val="001950"/>
                <w:sz w:val="21"/>
                <w:lang w:eastAsia="en-GB"/>
              </w:rPr>
              <w:t>12</w:t>
            </w:r>
            <w:r>
              <w:rPr>
                <w:rFonts w:cs="Arial"/>
                <w:b/>
                <w:color w:val="001950"/>
                <w:sz w:val="21"/>
                <w:lang w:eastAsia="en-GB"/>
              </w:rPr>
              <w:t>: The urbanisation of China has a lot further to go</w:t>
            </w:r>
          </w:p>
          <w:p w:rsidR="007D6612" w:rsidRDefault="00295A04" w:rsidP="006B047F">
            <w:pPr>
              <w:jc w:val="both"/>
              <w:rPr>
                <w:rFonts w:cs="Arial"/>
                <w:b/>
                <w:color w:val="000080"/>
                <w:sz w:val="24"/>
                <w:szCs w:val="24"/>
                <w:lang w:eastAsia="en-GB"/>
              </w:rPr>
            </w:pPr>
            <w:r>
              <w:rPr>
                <w:rFonts w:cs="Arial"/>
                <w:b/>
                <w:noProof/>
                <w:color w:val="000080"/>
                <w:sz w:val="24"/>
                <w:szCs w:val="24"/>
                <w:lang w:val="pt-PT" w:eastAsia="pt-PT"/>
              </w:rPr>
              <w:drawing>
                <wp:inline distT="0" distB="0" distL="0" distR="0">
                  <wp:extent cx="4853305" cy="2766695"/>
                  <wp:effectExtent l="19050" t="0" r="444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853305" cy="2766695"/>
                          </a:xfrm>
                          <a:prstGeom prst="rect">
                            <a:avLst/>
                          </a:prstGeom>
                          <a:noFill/>
                          <a:ln w="9525">
                            <a:noFill/>
                            <a:miter lim="800000"/>
                            <a:headEnd/>
                            <a:tailEnd/>
                          </a:ln>
                        </pic:spPr>
                      </pic:pic>
                    </a:graphicData>
                  </a:graphic>
                </wp:inline>
              </w:drawing>
            </w:r>
          </w:p>
          <w:p w:rsidR="008F4501" w:rsidRPr="00A10BCD" w:rsidRDefault="008F4501" w:rsidP="00A10BCD">
            <w:pPr>
              <w:spacing w:after="120"/>
              <w:jc w:val="both"/>
              <w:rPr>
                <w:rFonts w:cs="Arial"/>
                <w:color w:val="808080"/>
                <w:sz w:val="18"/>
                <w:lang w:eastAsia="en-GB"/>
              </w:rPr>
            </w:pPr>
            <w:r>
              <w:rPr>
                <w:rFonts w:cs="Arial"/>
                <w:color w:val="808080"/>
                <w:sz w:val="18"/>
                <w:lang w:eastAsia="en-GB"/>
              </w:rPr>
              <w:lastRenderedPageBreak/>
              <w:t>Source: Thomson Datastream,</w:t>
            </w:r>
            <w:r w:rsidR="00A10BCD">
              <w:rPr>
                <w:rFonts w:cs="Arial"/>
                <w:color w:val="808080"/>
                <w:sz w:val="18"/>
                <w:lang w:eastAsia="en-GB"/>
              </w:rPr>
              <w:t xml:space="preserve"> World</w:t>
            </w:r>
            <w:r w:rsidR="006B047F">
              <w:rPr>
                <w:rFonts w:cs="Arial"/>
                <w:color w:val="808080"/>
                <w:sz w:val="18"/>
                <w:lang w:eastAsia="en-GB"/>
              </w:rPr>
              <w:t xml:space="preserve"> B</w:t>
            </w:r>
            <w:r w:rsidR="00A10BCD">
              <w:rPr>
                <w:rFonts w:cs="Arial"/>
                <w:color w:val="808080"/>
                <w:sz w:val="18"/>
                <w:lang w:eastAsia="en-GB"/>
              </w:rPr>
              <w:t>ank,</w:t>
            </w:r>
            <w:r>
              <w:rPr>
                <w:rFonts w:cs="Arial"/>
                <w:color w:val="808080"/>
                <w:sz w:val="18"/>
                <w:lang w:eastAsia="en-GB"/>
              </w:rPr>
              <w:t xml:space="preserve"> Schroders. </w:t>
            </w:r>
            <w:r w:rsidR="00EF5E83">
              <w:rPr>
                <w:rFonts w:cs="Arial"/>
                <w:color w:val="808080"/>
                <w:sz w:val="18"/>
                <w:lang w:eastAsia="en-GB"/>
              </w:rPr>
              <w:t>24</w:t>
            </w:r>
            <w:r>
              <w:rPr>
                <w:rFonts w:cs="Arial"/>
                <w:color w:val="808080"/>
                <w:sz w:val="18"/>
                <w:lang w:eastAsia="en-GB"/>
              </w:rPr>
              <w:t xml:space="preserve"> </w:t>
            </w:r>
            <w:r w:rsidR="00EF5E83">
              <w:rPr>
                <w:rFonts w:cs="Arial"/>
                <w:color w:val="808080"/>
                <w:sz w:val="18"/>
                <w:lang w:eastAsia="en-GB"/>
              </w:rPr>
              <w:t>April</w:t>
            </w:r>
            <w:r>
              <w:rPr>
                <w:rFonts w:cs="Arial"/>
                <w:color w:val="808080"/>
                <w:sz w:val="18"/>
                <w:lang w:eastAsia="en-GB"/>
              </w:rPr>
              <w:t xml:space="preserve"> 2013</w:t>
            </w:r>
          </w:p>
          <w:p w:rsidR="00A10BCD" w:rsidRPr="00A10BCD" w:rsidRDefault="00A10BCD" w:rsidP="00A10BCD">
            <w:pPr>
              <w:spacing w:after="120"/>
              <w:jc w:val="both"/>
              <w:rPr>
                <w:rFonts w:cs="Arial"/>
                <w:color w:val="auto"/>
                <w:sz w:val="21"/>
                <w:szCs w:val="21"/>
                <w:lang w:eastAsia="en-GB"/>
              </w:rPr>
            </w:pPr>
            <w:r w:rsidRPr="00A10BCD">
              <w:rPr>
                <w:rFonts w:cs="Arial"/>
                <w:color w:val="auto"/>
                <w:sz w:val="21"/>
                <w:szCs w:val="21"/>
                <w:lang w:eastAsia="en-GB"/>
              </w:rPr>
              <w:t>Secondly, though investment growth has been very strong, the Chinese capital stock relative to GDP remains below more advanced peers. This is unsurprising, given that China is not as wealthy, but suggests that there is scope for further catching up to take place. Measured in terms of capital per worker, the scope for further investment growth is even greater. Additionally, the relatively high rate of depreciation of the Chinese capital stock creates a demand for investment spending in fixed assets to replace obsolete machinery. Although the trend in depreciation has improved over the past decade, it remains a significant share of GDP, and this will maintain the need for substantial investment spending going forward.</w:t>
            </w:r>
          </w:p>
          <w:p w:rsidR="00A10BCD" w:rsidRPr="00A10BCD" w:rsidRDefault="00A10BCD" w:rsidP="00A10BCD">
            <w:pPr>
              <w:spacing w:after="120"/>
              <w:jc w:val="both"/>
              <w:rPr>
                <w:rFonts w:cs="Arial"/>
                <w:color w:val="auto"/>
                <w:sz w:val="21"/>
                <w:szCs w:val="21"/>
                <w:lang w:eastAsia="en-GB"/>
              </w:rPr>
            </w:pPr>
            <w:r w:rsidRPr="00A10BCD">
              <w:rPr>
                <w:rFonts w:cs="Arial"/>
                <w:color w:val="auto"/>
                <w:sz w:val="21"/>
                <w:szCs w:val="21"/>
                <w:lang w:eastAsia="en-GB"/>
              </w:rPr>
              <w:t xml:space="preserve">Finally, investment remains the one of the quickest way for authorities to shore-up a rapid cyclical deterioration. The reduction in the official growth target was an acceptance that growth rates are likely to be lower going forward and mild slowdowns will be tolerated. Signs of a sharper decline or “hard landing”, as occurred in the middle of last year, however, will continue to be met with stimulus to support the economy and prevent unrest. Though it would be preferable for this impetus to occur through consumers (such as reducing taxes), to aide the rebalancing process, the reality remains that investment stimulus remains quicker to implement and take effect. </w:t>
            </w:r>
          </w:p>
          <w:p w:rsidR="00A10BCD" w:rsidRPr="00397AC5" w:rsidRDefault="00A10BCD" w:rsidP="00A10BCD">
            <w:pPr>
              <w:spacing w:after="120"/>
              <w:jc w:val="both"/>
              <w:rPr>
                <w:rFonts w:cs="Arial"/>
                <w:color w:val="auto"/>
                <w:sz w:val="21"/>
                <w:szCs w:val="21"/>
                <w:lang w:eastAsia="en-GB"/>
              </w:rPr>
            </w:pPr>
            <w:r w:rsidRPr="00A10BCD">
              <w:rPr>
                <w:rFonts w:cs="Arial"/>
                <w:color w:val="auto"/>
                <w:sz w:val="21"/>
                <w:szCs w:val="21"/>
                <w:lang w:eastAsia="en-GB"/>
              </w:rPr>
              <w:t xml:space="preserve">This is not to say that all the investment in China is efficient, or that rebalancing is not important. The extremely low rate of capacity utilisation (chart </w:t>
            </w:r>
            <w:r w:rsidR="00397AC5">
              <w:rPr>
                <w:rFonts w:cs="Arial"/>
                <w:color w:val="auto"/>
                <w:sz w:val="21"/>
                <w:szCs w:val="21"/>
                <w:lang w:eastAsia="en-GB"/>
              </w:rPr>
              <w:t>13</w:t>
            </w:r>
            <w:r w:rsidRPr="00A10BCD">
              <w:rPr>
                <w:rFonts w:cs="Arial"/>
                <w:color w:val="auto"/>
                <w:sz w:val="21"/>
                <w:szCs w:val="21"/>
                <w:lang w:eastAsia="en-GB"/>
              </w:rPr>
              <w:t>), and its rapid decline in the past decade, is indicative of an economy directing too many resources to unproductive sectors- primarily via state-owned enterprises (SOEs). We believe this has been a major cause of the deflation seen in Chinese producer prices, with corporates having little pricing power. It is vital that the efficiency and productiveness of investment spending is improved to eradicate this underutilisation of resources, and the</w:t>
            </w:r>
            <w:r w:rsidRPr="00397AC5">
              <w:rPr>
                <w:rFonts w:cs="Arial"/>
                <w:color w:val="auto"/>
                <w:sz w:val="21"/>
                <w:szCs w:val="21"/>
                <w:lang w:eastAsia="en-GB"/>
              </w:rPr>
              <w:t xml:space="preserve"> liberalisation of the financial system, another long-term theme, will be beneficial in allowing the market to determine the allocation of capital as opposed to policymakers.</w:t>
            </w:r>
          </w:p>
          <w:p w:rsidR="00A10BCD" w:rsidRDefault="00A10BCD" w:rsidP="004A029A">
            <w:pPr>
              <w:spacing w:after="120"/>
              <w:jc w:val="both"/>
              <w:rPr>
                <w:rFonts w:cs="Arial"/>
                <w:color w:val="auto"/>
                <w:lang w:eastAsia="en-GB"/>
              </w:rPr>
            </w:pPr>
          </w:p>
          <w:p w:rsidR="00A10BCD" w:rsidRDefault="00A10BCD" w:rsidP="004A029A">
            <w:pPr>
              <w:spacing w:after="120"/>
              <w:jc w:val="both"/>
              <w:rPr>
                <w:rFonts w:cs="Arial"/>
                <w:color w:val="auto"/>
                <w:lang w:eastAsia="en-GB"/>
              </w:rPr>
            </w:pPr>
          </w:p>
          <w:p w:rsidR="00A10BCD" w:rsidRDefault="00A10BCD" w:rsidP="004A029A">
            <w:pPr>
              <w:spacing w:after="120"/>
              <w:jc w:val="both"/>
              <w:rPr>
                <w:rFonts w:cs="Arial"/>
                <w:color w:val="auto"/>
                <w:lang w:eastAsia="en-GB"/>
              </w:rPr>
            </w:pPr>
          </w:p>
          <w:p w:rsidR="00A10BCD" w:rsidRDefault="00A10BCD" w:rsidP="004A029A">
            <w:pPr>
              <w:spacing w:after="120"/>
              <w:jc w:val="both"/>
              <w:rPr>
                <w:rFonts w:cs="Arial"/>
                <w:color w:val="auto"/>
                <w:lang w:eastAsia="en-GB"/>
              </w:rPr>
            </w:pPr>
          </w:p>
          <w:p w:rsidR="00A10BCD" w:rsidRDefault="00A10BCD" w:rsidP="004A029A">
            <w:pPr>
              <w:spacing w:after="120"/>
              <w:jc w:val="both"/>
              <w:rPr>
                <w:rFonts w:cs="Arial"/>
                <w:color w:val="auto"/>
                <w:lang w:eastAsia="en-GB"/>
              </w:rPr>
            </w:pPr>
          </w:p>
          <w:p w:rsidR="00A10BCD" w:rsidRDefault="00A10BCD" w:rsidP="004A029A">
            <w:pPr>
              <w:spacing w:after="120"/>
              <w:jc w:val="both"/>
              <w:rPr>
                <w:rFonts w:cs="Arial"/>
                <w:color w:val="auto"/>
                <w:lang w:eastAsia="en-GB"/>
              </w:rPr>
            </w:pPr>
          </w:p>
          <w:p w:rsidR="008F4501" w:rsidRPr="008F4501" w:rsidRDefault="00A10BCD" w:rsidP="006B047F">
            <w:pPr>
              <w:pStyle w:val="Textosimples"/>
              <w:ind w:left="1004" w:hanging="1004"/>
              <w:jc w:val="both"/>
              <w:rPr>
                <w:rFonts w:cs="Arial"/>
                <w:b/>
                <w:color w:val="001950"/>
                <w:sz w:val="21"/>
                <w:lang w:eastAsia="en-GB"/>
              </w:rPr>
            </w:pPr>
            <w:r>
              <w:rPr>
                <w:rFonts w:cs="Arial"/>
                <w:b/>
                <w:color w:val="001950"/>
                <w:sz w:val="21"/>
                <w:lang w:eastAsia="en-GB"/>
              </w:rPr>
              <w:t xml:space="preserve">Chart </w:t>
            </w:r>
            <w:r w:rsidR="005C7309">
              <w:rPr>
                <w:rFonts w:cs="Arial"/>
                <w:b/>
                <w:color w:val="001950"/>
                <w:sz w:val="21"/>
                <w:lang w:eastAsia="en-GB"/>
              </w:rPr>
              <w:t>13</w:t>
            </w:r>
            <w:r w:rsidR="008F4501" w:rsidRPr="008F4501">
              <w:rPr>
                <w:rFonts w:cs="Arial"/>
                <w:b/>
                <w:color w:val="001950"/>
                <w:sz w:val="21"/>
                <w:lang w:eastAsia="en-GB"/>
              </w:rPr>
              <w:t>:</w:t>
            </w:r>
            <w:r>
              <w:rPr>
                <w:rFonts w:cs="Arial"/>
                <w:b/>
                <w:color w:val="001950"/>
                <w:sz w:val="21"/>
                <w:lang w:eastAsia="en-GB"/>
              </w:rPr>
              <w:t xml:space="preserve"> Capacity</w:t>
            </w:r>
            <w:r w:rsidR="00B834C2">
              <w:rPr>
                <w:rFonts w:cs="Arial"/>
                <w:b/>
                <w:color w:val="001950"/>
                <w:sz w:val="21"/>
                <w:lang w:eastAsia="en-GB"/>
              </w:rPr>
              <w:t xml:space="preserve"> utilisation rate has plummeted - a sign of inefficiency</w:t>
            </w:r>
          </w:p>
          <w:p w:rsidR="007D6612" w:rsidRDefault="00295A04" w:rsidP="00EA2A00">
            <w:pPr>
              <w:jc w:val="both"/>
              <w:rPr>
                <w:rFonts w:cs="Arial"/>
                <w:b/>
                <w:color w:val="000080"/>
                <w:sz w:val="24"/>
                <w:szCs w:val="24"/>
                <w:lang w:eastAsia="en-GB"/>
              </w:rPr>
            </w:pPr>
            <w:r>
              <w:rPr>
                <w:rFonts w:cs="Arial"/>
                <w:b/>
                <w:noProof/>
                <w:color w:val="000080"/>
                <w:sz w:val="24"/>
                <w:szCs w:val="24"/>
                <w:lang w:val="pt-PT" w:eastAsia="pt-PT"/>
              </w:rPr>
              <w:lastRenderedPageBreak/>
              <w:drawing>
                <wp:inline distT="0" distB="0" distL="0" distR="0">
                  <wp:extent cx="4976495" cy="281940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4976495" cy="2819400"/>
                          </a:xfrm>
                          <a:prstGeom prst="rect">
                            <a:avLst/>
                          </a:prstGeom>
                          <a:noFill/>
                          <a:ln w="9525">
                            <a:noFill/>
                            <a:miter lim="800000"/>
                            <a:headEnd/>
                            <a:tailEnd/>
                          </a:ln>
                        </pic:spPr>
                      </pic:pic>
                    </a:graphicData>
                  </a:graphic>
                </wp:inline>
              </w:drawing>
            </w:r>
          </w:p>
          <w:p w:rsidR="008F4501" w:rsidRDefault="008F4501" w:rsidP="008F4501">
            <w:pPr>
              <w:spacing w:after="120"/>
              <w:jc w:val="both"/>
              <w:rPr>
                <w:rFonts w:cs="Arial"/>
                <w:color w:val="808080"/>
                <w:sz w:val="18"/>
                <w:lang w:eastAsia="en-GB"/>
              </w:rPr>
            </w:pPr>
            <w:r>
              <w:rPr>
                <w:rFonts w:cs="Arial"/>
                <w:color w:val="808080"/>
                <w:sz w:val="18"/>
                <w:lang w:eastAsia="en-GB"/>
              </w:rPr>
              <w:t xml:space="preserve">Source: </w:t>
            </w:r>
            <w:r w:rsidR="00A10BCD">
              <w:rPr>
                <w:rFonts w:cs="Arial"/>
                <w:color w:val="808080"/>
                <w:sz w:val="18"/>
                <w:lang w:eastAsia="en-GB"/>
              </w:rPr>
              <w:t>IMF staff estimates, Societe Generale, April</w:t>
            </w:r>
            <w:r>
              <w:rPr>
                <w:rFonts w:cs="Arial"/>
                <w:color w:val="808080"/>
                <w:sz w:val="18"/>
                <w:lang w:eastAsia="en-GB"/>
              </w:rPr>
              <w:t xml:space="preserve"> 2013</w:t>
            </w:r>
            <w:r w:rsidR="003A28E2">
              <w:rPr>
                <w:rFonts w:cs="Arial"/>
                <w:color w:val="808080"/>
                <w:sz w:val="18"/>
                <w:lang w:eastAsia="en-GB"/>
              </w:rPr>
              <w:t>.</w:t>
            </w:r>
          </w:p>
          <w:p w:rsidR="008E4959" w:rsidRDefault="008F4501" w:rsidP="00FE7E5D">
            <w:pPr>
              <w:spacing w:after="120"/>
              <w:jc w:val="both"/>
              <w:rPr>
                <w:rFonts w:cs="Arial"/>
                <w:color w:val="auto"/>
                <w:lang w:eastAsia="en-GB"/>
              </w:rPr>
            </w:pPr>
            <w:r w:rsidRPr="008F4501">
              <w:rPr>
                <w:rFonts w:cs="Arial"/>
                <w:color w:val="auto"/>
                <w:lang w:eastAsia="en-GB"/>
              </w:rPr>
              <w:t xml:space="preserve"> </w:t>
            </w:r>
          </w:p>
          <w:p w:rsidR="009668EE" w:rsidRDefault="009668EE" w:rsidP="00FE7E5D">
            <w:pPr>
              <w:spacing w:after="120"/>
              <w:jc w:val="both"/>
              <w:rPr>
                <w:rFonts w:cs="Arial"/>
                <w:color w:val="auto"/>
                <w:lang w:eastAsia="en-GB"/>
              </w:rPr>
            </w:pPr>
          </w:p>
          <w:p w:rsidR="009668EE" w:rsidRDefault="009668EE" w:rsidP="00FE7E5D">
            <w:pPr>
              <w:spacing w:after="120"/>
              <w:jc w:val="both"/>
              <w:rPr>
                <w:rFonts w:cs="Arial"/>
                <w:color w:val="auto"/>
                <w:lang w:eastAsia="en-GB"/>
              </w:rPr>
            </w:pPr>
          </w:p>
          <w:p w:rsidR="009668EE" w:rsidRDefault="009668EE" w:rsidP="00FE7E5D">
            <w:pPr>
              <w:spacing w:after="120"/>
              <w:jc w:val="both"/>
              <w:rPr>
                <w:rFonts w:cs="Arial"/>
                <w:color w:val="auto"/>
                <w:lang w:eastAsia="en-GB"/>
              </w:rPr>
            </w:pPr>
          </w:p>
          <w:p w:rsidR="009668EE" w:rsidRPr="00FE7E5D" w:rsidRDefault="009668EE" w:rsidP="00FE7E5D">
            <w:pPr>
              <w:spacing w:after="120"/>
              <w:jc w:val="both"/>
              <w:rPr>
                <w:rFonts w:cs="Arial"/>
                <w:color w:val="auto"/>
                <w:lang w:eastAsia="en-GB"/>
              </w:rPr>
            </w:pPr>
          </w:p>
        </w:tc>
      </w:tr>
    </w:tbl>
    <w:p w:rsidR="004D1287" w:rsidRDefault="004D1287" w:rsidP="004D1287">
      <w:pPr>
        <w:autoSpaceDE w:val="0"/>
        <w:autoSpaceDN w:val="0"/>
        <w:adjustRightInd w:val="0"/>
        <w:rPr>
          <w:rFonts w:cs="Arial"/>
          <w:b/>
          <w:bCs/>
          <w:color w:val="001950"/>
          <w:sz w:val="32"/>
          <w:szCs w:val="32"/>
          <w:lang w:eastAsia="en-GB"/>
        </w:rPr>
      </w:pPr>
      <w:r>
        <w:rPr>
          <w:rFonts w:cs="Arial"/>
          <w:b/>
          <w:bCs/>
          <w:color w:val="001950"/>
          <w:sz w:val="32"/>
          <w:szCs w:val="32"/>
          <w:lang w:eastAsia="en-GB"/>
        </w:rPr>
        <w:lastRenderedPageBreak/>
        <w:t>Schroders Baseline Forecast</w:t>
      </w:r>
    </w:p>
    <w:p w:rsidR="004D1287" w:rsidRDefault="004D1287" w:rsidP="004D1287">
      <w:pPr>
        <w:pStyle w:val="StyleQParagraphHeadingBlackDarkBlue"/>
        <w:rPr>
          <w:rFonts w:cs="Arial"/>
          <w:b w:val="0"/>
          <w:bCs/>
          <w:sz w:val="21"/>
          <w:szCs w:val="21"/>
          <w:lang w:eastAsia="en-GB"/>
        </w:rPr>
      </w:pPr>
    </w:p>
    <w:p w:rsidR="004D1287" w:rsidRPr="004D1287" w:rsidRDefault="00295A04" w:rsidP="004D1287">
      <w:pPr>
        <w:rPr>
          <w:lang w:eastAsia="en-GB"/>
        </w:rPr>
      </w:pPr>
      <w:r>
        <w:rPr>
          <w:noProof/>
          <w:lang w:val="pt-PT" w:eastAsia="pt-PT"/>
        </w:rPr>
        <w:lastRenderedPageBreak/>
        <w:drawing>
          <wp:inline distT="0" distB="0" distL="0" distR="0">
            <wp:extent cx="5826125" cy="8469630"/>
            <wp:effectExtent l="19050" t="0" r="317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826125" cy="8469630"/>
                    </a:xfrm>
                    <a:prstGeom prst="rect">
                      <a:avLst/>
                    </a:prstGeom>
                    <a:noFill/>
                    <a:ln w="9525">
                      <a:noFill/>
                      <a:miter lim="800000"/>
                      <a:headEnd/>
                      <a:tailEnd/>
                    </a:ln>
                  </pic:spPr>
                </pic:pic>
              </a:graphicData>
            </a:graphic>
          </wp:inline>
        </w:drawing>
      </w:r>
    </w:p>
    <w:p w:rsidR="00292F9B" w:rsidRDefault="00292F9B" w:rsidP="00292F9B">
      <w:pPr>
        <w:pStyle w:val="StyleQParagraphHeadingBlackDarkBlue"/>
        <w:rPr>
          <w:rFonts w:ascii="Arial" w:hAnsi="Arial" w:cs="Arial"/>
          <w:sz w:val="23"/>
          <w:szCs w:val="23"/>
        </w:rPr>
      </w:pPr>
    </w:p>
    <w:p w:rsidR="00292F9B" w:rsidRDefault="00292F9B" w:rsidP="00292F9B">
      <w:pPr>
        <w:pStyle w:val="StyleQParagraphHeadingBlackDarkBlue"/>
        <w:rPr>
          <w:rFonts w:ascii="Arial" w:hAnsi="Arial" w:cs="Arial"/>
          <w:sz w:val="23"/>
          <w:szCs w:val="23"/>
        </w:rPr>
      </w:pPr>
    </w:p>
    <w:p w:rsidR="00292F9B" w:rsidRPr="00853647" w:rsidRDefault="00292F9B" w:rsidP="00292F9B">
      <w:pPr>
        <w:pStyle w:val="StyleQParagraphHeadingBlackDarkBlue"/>
        <w:rPr>
          <w:rFonts w:ascii="Arial" w:hAnsi="Arial" w:cs="Arial"/>
          <w:sz w:val="23"/>
          <w:szCs w:val="23"/>
        </w:rPr>
      </w:pPr>
      <w:r>
        <w:rPr>
          <w:rFonts w:ascii="Arial" w:hAnsi="Arial" w:cs="Arial"/>
          <w:sz w:val="23"/>
          <w:szCs w:val="23"/>
        </w:rPr>
        <w:t>I</w:t>
      </w:r>
      <w:r w:rsidRPr="00853647">
        <w:rPr>
          <w:rFonts w:ascii="Arial" w:hAnsi="Arial" w:cs="Arial"/>
          <w:sz w:val="23"/>
          <w:szCs w:val="23"/>
        </w:rPr>
        <w:t>. Updated forecast charts - Consensus Economics</w:t>
      </w:r>
    </w:p>
    <w:p w:rsidR="00292F9B" w:rsidRPr="00853647" w:rsidRDefault="00292F9B" w:rsidP="00292F9B">
      <w:pPr>
        <w:jc w:val="both"/>
        <w:rPr>
          <w:rFonts w:cs="Arial"/>
          <w:sz w:val="21"/>
          <w:szCs w:val="21"/>
        </w:rPr>
      </w:pPr>
      <w:r w:rsidRPr="00853647">
        <w:rPr>
          <w:rFonts w:cs="Arial"/>
          <w:sz w:val="21"/>
          <w:szCs w:val="21"/>
        </w:rPr>
        <w:lastRenderedPageBreak/>
        <w:t xml:space="preserve">For the EM, EM Asia and Pacific ex </w:t>
      </w:r>
      <w:smartTag w:uri="urn:schemas-microsoft-com:office:smarttags" w:element="country-region">
        <w:smartTag w:uri="urn:schemas-microsoft-com:office:smarttags" w:element="place">
          <w:r w:rsidRPr="00853647">
            <w:rPr>
              <w:rFonts w:cs="Arial"/>
              <w:sz w:val="21"/>
              <w:szCs w:val="21"/>
            </w:rPr>
            <w:t>Japan</w:t>
          </w:r>
        </w:smartTag>
      </w:smartTag>
      <w:r w:rsidRPr="00853647">
        <w:rPr>
          <w:rFonts w:cs="Arial"/>
          <w:sz w:val="21"/>
          <w:szCs w:val="21"/>
        </w:rPr>
        <w:t xml:space="preserve">, growth and inflation forecasts are </w:t>
      </w:r>
      <w:smartTag w:uri="urn:schemas-microsoft-com:office:smarttags" w:element="stockticker">
        <w:r w:rsidRPr="00853647">
          <w:rPr>
            <w:rFonts w:cs="Arial"/>
            <w:sz w:val="21"/>
            <w:szCs w:val="21"/>
          </w:rPr>
          <w:t>GDP</w:t>
        </w:r>
      </w:smartTag>
      <w:r w:rsidRPr="00853647">
        <w:rPr>
          <w:rFonts w:cs="Arial"/>
          <w:sz w:val="21"/>
          <w:szCs w:val="21"/>
        </w:rPr>
        <w:t xml:space="preserve"> weighted and calculated using Consensus Economics forecasts of individual countries.</w:t>
      </w:r>
    </w:p>
    <w:p w:rsidR="00292F9B" w:rsidRPr="00853647" w:rsidRDefault="00292F9B" w:rsidP="00292F9B">
      <w:pPr>
        <w:jc w:val="both"/>
        <w:rPr>
          <w:rFonts w:cs="Arial"/>
          <w:sz w:val="8"/>
          <w:szCs w:val="8"/>
        </w:rPr>
      </w:pPr>
    </w:p>
    <w:p w:rsidR="00292F9B" w:rsidRPr="00853647" w:rsidRDefault="00292F9B" w:rsidP="00292F9B">
      <w:pPr>
        <w:pStyle w:val="StyleQParagraphHeadingBlackDarkBlue"/>
        <w:rPr>
          <w:rFonts w:ascii="Arial" w:hAnsi="Arial" w:cs="Arial"/>
          <w:sz w:val="23"/>
          <w:szCs w:val="23"/>
        </w:rPr>
      </w:pPr>
      <w:r w:rsidRPr="00853647">
        <w:rPr>
          <w:rFonts w:ascii="Arial" w:hAnsi="Arial" w:cs="Arial"/>
          <w:sz w:val="23"/>
          <w:szCs w:val="23"/>
        </w:rPr>
        <w:t xml:space="preserve">Chart A: </w:t>
      </w:r>
      <w:smartTag w:uri="urn:schemas-microsoft-com:office:smarttags" w:element="stockticker">
        <w:r w:rsidRPr="00853647">
          <w:rPr>
            <w:rFonts w:ascii="Arial" w:hAnsi="Arial" w:cs="Arial"/>
            <w:sz w:val="23"/>
            <w:szCs w:val="23"/>
          </w:rPr>
          <w:t>GDP</w:t>
        </w:r>
      </w:smartTag>
      <w:r w:rsidRPr="00853647">
        <w:rPr>
          <w:rFonts w:ascii="Arial" w:hAnsi="Arial" w:cs="Arial"/>
          <w:sz w:val="23"/>
          <w:szCs w:val="23"/>
        </w:rPr>
        <w:t xml:space="preserve"> consensus forecasts</w:t>
      </w:r>
    </w:p>
    <w:tbl>
      <w:tblPr>
        <w:tblW w:w="9835" w:type="dxa"/>
        <w:tblLayout w:type="fixed"/>
        <w:tblLook w:val="0000"/>
      </w:tblPr>
      <w:tblGrid>
        <w:gridCol w:w="5016"/>
        <w:gridCol w:w="4819"/>
      </w:tblGrid>
      <w:tr w:rsidR="00292F9B" w:rsidRPr="00853647" w:rsidTr="00C60FE5">
        <w:tblPrEx>
          <w:tblCellMar>
            <w:top w:w="0" w:type="dxa"/>
            <w:bottom w:w="0" w:type="dxa"/>
          </w:tblCellMar>
        </w:tblPrEx>
        <w:trPr>
          <w:trHeight w:val="280"/>
        </w:trPr>
        <w:tc>
          <w:tcPr>
            <w:tcW w:w="5016" w:type="dxa"/>
            <w:shd w:val="clear" w:color="auto" w:fill="00005A"/>
          </w:tcPr>
          <w:p w:rsidR="00292F9B" w:rsidRPr="00853647" w:rsidRDefault="00292F9B" w:rsidP="00C60FE5">
            <w:pPr>
              <w:jc w:val="center"/>
              <w:rPr>
                <w:rFonts w:cs="Arial"/>
                <w:b/>
                <w:color w:val="FFFFFF"/>
                <w:sz w:val="23"/>
                <w:szCs w:val="23"/>
              </w:rPr>
            </w:pPr>
            <w:r>
              <w:rPr>
                <w:rFonts w:cs="Arial"/>
                <w:b/>
                <w:color w:val="FFFFFF"/>
                <w:sz w:val="23"/>
                <w:szCs w:val="23"/>
              </w:rPr>
              <w:t>2013</w:t>
            </w:r>
          </w:p>
        </w:tc>
        <w:tc>
          <w:tcPr>
            <w:tcW w:w="4819" w:type="dxa"/>
            <w:shd w:val="clear" w:color="auto" w:fill="00005A"/>
          </w:tcPr>
          <w:p w:rsidR="00292F9B" w:rsidRPr="00853647" w:rsidRDefault="00292F9B" w:rsidP="00C60FE5">
            <w:pPr>
              <w:jc w:val="center"/>
              <w:rPr>
                <w:rFonts w:cs="Arial"/>
                <w:b/>
                <w:color w:val="FFFFFF"/>
                <w:sz w:val="23"/>
                <w:szCs w:val="23"/>
              </w:rPr>
            </w:pPr>
            <w:r>
              <w:rPr>
                <w:rFonts w:cs="Arial"/>
                <w:b/>
                <w:color w:val="FFFFFF"/>
                <w:sz w:val="23"/>
                <w:szCs w:val="23"/>
              </w:rPr>
              <w:t>2014</w:t>
            </w:r>
          </w:p>
        </w:tc>
      </w:tr>
      <w:tr w:rsidR="00292F9B" w:rsidRPr="009D6990" w:rsidTr="00C60FE5">
        <w:tblPrEx>
          <w:tblCellMar>
            <w:top w:w="0" w:type="dxa"/>
            <w:bottom w:w="0" w:type="dxa"/>
          </w:tblCellMar>
        </w:tblPrEx>
        <w:trPr>
          <w:trHeight w:val="3566"/>
        </w:trPr>
        <w:tc>
          <w:tcPr>
            <w:tcW w:w="5016" w:type="dxa"/>
            <w:shd w:val="clear" w:color="auto" w:fill="auto"/>
          </w:tcPr>
          <w:p w:rsidR="00292F9B" w:rsidRPr="009D6990" w:rsidRDefault="00295A04" w:rsidP="00C60FE5">
            <w:pPr>
              <w:jc w:val="center"/>
              <w:rPr>
                <w:rFonts w:cs="Arial"/>
                <w:sz w:val="23"/>
                <w:szCs w:val="23"/>
              </w:rPr>
            </w:pPr>
            <w:r>
              <w:rPr>
                <w:rFonts w:cs="Arial"/>
                <w:noProof/>
                <w:sz w:val="23"/>
                <w:szCs w:val="23"/>
                <w:lang w:val="pt-PT" w:eastAsia="pt-PT"/>
              </w:rPr>
              <w:drawing>
                <wp:inline distT="0" distB="0" distL="0" distR="0">
                  <wp:extent cx="2708275" cy="223901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708275" cy="2239010"/>
                          </a:xfrm>
                          <a:prstGeom prst="rect">
                            <a:avLst/>
                          </a:prstGeom>
                          <a:noFill/>
                          <a:ln w="9525">
                            <a:noFill/>
                            <a:miter lim="800000"/>
                            <a:headEnd/>
                            <a:tailEnd/>
                          </a:ln>
                        </pic:spPr>
                      </pic:pic>
                    </a:graphicData>
                  </a:graphic>
                </wp:inline>
              </w:drawing>
            </w:r>
          </w:p>
        </w:tc>
        <w:tc>
          <w:tcPr>
            <w:tcW w:w="4819" w:type="dxa"/>
            <w:shd w:val="clear" w:color="auto" w:fill="auto"/>
          </w:tcPr>
          <w:p w:rsidR="00292F9B" w:rsidRPr="009D6990" w:rsidRDefault="00295A04" w:rsidP="00C60FE5">
            <w:pPr>
              <w:jc w:val="center"/>
              <w:rPr>
                <w:rFonts w:cs="Arial"/>
                <w:sz w:val="23"/>
                <w:szCs w:val="23"/>
              </w:rPr>
            </w:pPr>
            <w:r>
              <w:rPr>
                <w:rFonts w:cs="Arial"/>
                <w:noProof/>
                <w:sz w:val="23"/>
                <w:szCs w:val="23"/>
                <w:lang w:val="pt-PT" w:eastAsia="pt-PT"/>
              </w:rPr>
              <w:drawing>
                <wp:inline distT="0" distB="0" distL="0" distR="0">
                  <wp:extent cx="2748915" cy="221551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2748915" cy="2215515"/>
                          </a:xfrm>
                          <a:prstGeom prst="rect">
                            <a:avLst/>
                          </a:prstGeom>
                          <a:noFill/>
                          <a:ln w="9525">
                            <a:noFill/>
                            <a:miter lim="800000"/>
                            <a:headEnd/>
                            <a:tailEnd/>
                          </a:ln>
                        </pic:spPr>
                      </pic:pic>
                    </a:graphicData>
                  </a:graphic>
                </wp:inline>
              </w:drawing>
            </w:r>
          </w:p>
        </w:tc>
      </w:tr>
    </w:tbl>
    <w:p w:rsidR="00292F9B" w:rsidRPr="00694906" w:rsidRDefault="00292F9B" w:rsidP="00292F9B">
      <w:pPr>
        <w:pStyle w:val="Ttulo1"/>
        <w:rPr>
          <w:color w:val="000052"/>
          <w:sz w:val="23"/>
          <w:szCs w:val="23"/>
        </w:rPr>
      </w:pPr>
      <w:r w:rsidRPr="00694906">
        <w:rPr>
          <w:color w:val="000052"/>
          <w:sz w:val="23"/>
          <w:szCs w:val="23"/>
        </w:rPr>
        <w:t>Chart B: Inflation consensus forecasts</w:t>
      </w:r>
    </w:p>
    <w:tbl>
      <w:tblPr>
        <w:tblW w:w="9837" w:type="dxa"/>
        <w:tblLayout w:type="fixed"/>
        <w:tblLook w:val="0000"/>
      </w:tblPr>
      <w:tblGrid>
        <w:gridCol w:w="5005"/>
        <w:gridCol w:w="4832"/>
      </w:tblGrid>
      <w:tr w:rsidR="00292F9B" w:rsidRPr="00694906" w:rsidTr="00C60FE5">
        <w:tblPrEx>
          <w:tblCellMar>
            <w:top w:w="0" w:type="dxa"/>
            <w:bottom w:w="0" w:type="dxa"/>
          </w:tblCellMar>
        </w:tblPrEx>
        <w:trPr>
          <w:trHeight w:val="285"/>
        </w:trPr>
        <w:tc>
          <w:tcPr>
            <w:tcW w:w="5005" w:type="dxa"/>
            <w:shd w:val="clear" w:color="auto" w:fill="000066"/>
          </w:tcPr>
          <w:p w:rsidR="00292F9B" w:rsidRPr="00694906" w:rsidRDefault="00292F9B" w:rsidP="00C60FE5">
            <w:pPr>
              <w:ind w:left="-288"/>
              <w:jc w:val="center"/>
              <w:rPr>
                <w:rFonts w:cs="Arial"/>
                <w:b/>
                <w:color w:val="FFFFFF"/>
                <w:sz w:val="23"/>
                <w:szCs w:val="23"/>
              </w:rPr>
            </w:pPr>
            <w:r>
              <w:rPr>
                <w:rFonts w:cs="Arial"/>
                <w:b/>
                <w:color w:val="FFFFFF"/>
                <w:sz w:val="23"/>
                <w:szCs w:val="23"/>
              </w:rPr>
              <w:t>2013</w:t>
            </w:r>
          </w:p>
        </w:tc>
        <w:tc>
          <w:tcPr>
            <w:tcW w:w="4832" w:type="dxa"/>
            <w:shd w:val="clear" w:color="auto" w:fill="000066"/>
          </w:tcPr>
          <w:p w:rsidR="00292F9B" w:rsidRPr="00694906" w:rsidRDefault="00292F9B" w:rsidP="00C60FE5">
            <w:pPr>
              <w:jc w:val="center"/>
              <w:rPr>
                <w:rFonts w:cs="Arial"/>
                <w:b/>
                <w:color w:val="FFFFFF"/>
                <w:sz w:val="23"/>
                <w:szCs w:val="23"/>
              </w:rPr>
            </w:pPr>
            <w:r>
              <w:rPr>
                <w:rFonts w:cs="Arial"/>
                <w:b/>
                <w:color w:val="FFFFFF"/>
                <w:sz w:val="23"/>
                <w:szCs w:val="23"/>
              </w:rPr>
              <w:t>2014</w:t>
            </w:r>
          </w:p>
        </w:tc>
      </w:tr>
      <w:tr w:rsidR="00292F9B" w:rsidRPr="000D226B" w:rsidTr="00C60FE5">
        <w:tblPrEx>
          <w:tblCellMar>
            <w:top w:w="0" w:type="dxa"/>
            <w:bottom w:w="0" w:type="dxa"/>
          </w:tblCellMar>
        </w:tblPrEx>
        <w:trPr>
          <w:trHeight w:val="3122"/>
        </w:trPr>
        <w:tc>
          <w:tcPr>
            <w:tcW w:w="5005" w:type="dxa"/>
          </w:tcPr>
          <w:p w:rsidR="00292F9B" w:rsidRPr="00892AB0" w:rsidRDefault="00295A04" w:rsidP="00C60FE5">
            <w:pPr>
              <w:jc w:val="center"/>
              <w:rPr>
                <w:rFonts w:cs="Arial"/>
                <w:sz w:val="23"/>
                <w:szCs w:val="23"/>
              </w:rPr>
            </w:pPr>
            <w:r>
              <w:rPr>
                <w:rFonts w:cs="Arial"/>
                <w:noProof/>
                <w:sz w:val="23"/>
                <w:szCs w:val="23"/>
                <w:lang w:val="pt-PT" w:eastAsia="pt-PT"/>
              </w:rPr>
              <w:drawing>
                <wp:inline distT="0" distB="0" distL="0" distR="0">
                  <wp:extent cx="2725420" cy="245618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2725420" cy="2456180"/>
                          </a:xfrm>
                          <a:prstGeom prst="rect">
                            <a:avLst/>
                          </a:prstGeom>
                          <a:noFill/>
                          <a:ln w="9525">
                            <a:noFill/>
                            <a:miter lim="800000"/>
                            <a:headEnd/>
                            <a:tailEnd/>
                          </a:ln>
                        </pic:spPr>
                      </pic:pic>
                    </a:graphicData>
                  </a:graphic>
                </wp:inline>
              </w:drawing>
            </w:r>
          </w:p>
        </w:tc>
        <w:tc>
          <w:tcPr>
            <w:tcW w:w="4832" w:type="dxa"/>
          </w:tcPr>
          <w:p w:rsidR="00292F9B" w:rsidRPr="00892AB0" w:rsidRDefault="00295A04" w:rsidP="00C60FE5">
            <w:pPr>
              <w:jc w:val="center"/>
              <w:rPr>
                <w:rFonts w:cs="Arial"/>
                <w:sz w:val="23"/>
                <w:szCs w:val="23"/>
              </w:rPr>
            </w:pPr>
            <w:r>
              <w:rPr>
                <w:rFonts w:cs="Arial"/>
                <w:noProof/>
                <w:sz w:val="23"/>
                <w:szCs w:val="23"/>
                <w:lang w:val="pt-PT" w:eastAsia="pt-PT"/>
              </w:rPr>
              <w:drawing>
                <wp:inline distT="0" distB="0" distL="0" distR="0">
                  <wp:extent cx="2561590" cy="245618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2561590" cy="2456180"/>
                          </a:xfrm>
                          <a:prstGeom prst="rect">
                            <a:avLst/>
                          </a:prstGeom>
                          <a:noFill/>
                          <a:ln w="9525">
                            <a:noFill/>
                            <a:miter lim="800000"/>
                            <a:headEnd/>
                            <a:tailEnd/>
                          </a:ln>
                        </pic:spPr>
                      </pic:pic>
                    </a:graphicData>
                  </a:graphic>
                </wp:inline>
              </w:drawing>
            </w:r>
          </w:p>
        </w:tc>
      </w:tr>
      <w:tr w:rsidR="00292F9B" w:rsidRPr="000D226B" w:rsidTr="00C60FE5">
        <w:tblPrEx>
          <w:tblCellMar>
            <w:top w:w="0" w:type="dxa"/>
            <w:bottom w:w="0" w:type="dxa"/>
          </w:tblCellMar>
        </w:tblPrEx>
        <w:trPr>
          <w:trHeight w:val="222"/>
        </w:trPr>
        <w:tc>
          <w:tcPr>
            <w:tcW w:w="9837" w:type="dxa"/>
            <w:gridSpan w:val="2"/>
          </w:tcPr>
          <w:p w:rsidR="00292F9B" w:rsidRPr="00694906" w:rsidRDefault="00292F9B" w:rsidP="00C60FE5">
            <w:pPr>
              <w:jc w:val="both"/>
              <w:rPr>
                <w:rFonts w:cs="Arial"/>
                <w:color w:val="808080"/>
                <w:sz w:val="18"/>
                <w:szCs w:val="18"/>
              </w:rPr>
            </w:pPr>
            <w:r w:rsidRPr="00694906">
              <w:rPr>
                <w:rFonts w:cs="Arial"/>
                <w:color w:val="808080"/>
                <w:sz w:val="18"/>
                <w:szCs w:val="18"/>
              </w:rPr>
              <w:t>Source: Consensus Economics (</w:t>
            </w:r>
            <w:r>
              <w:rPr>
                <w:rFonts w:cs="Arial"/>
                <w:color w:val="808080"/>
                <w:sz w:val="18"/>
                <w:szCs w:val="18"/>
              </w:rPr>
              <w:t>April 2013</w:t>
            </w:r>
            <w:r w:rsidRPr="00694906">
              <w:rPr>
                <w:rFonts w:cs="Arial"/>
                <w:color w:val="808080"/>
                <w:sz w:val="18"/>
                <w:szCs w:val="18"/>
              </w:rPr>
              <w:t>), Schroders</w:t>
            </w:r>
          </w:p>
          <w:p w:rsidR="00292F9B" w:rsidRPr="00853647" w:rsidRDefault="00292F9B" w:rsidP="00C60FE5">
            <w:pPr>
              <w:jc w:val="both"/>
              <w:rPr>
                <w:rFonts w:cs="Arial"/>
                <w:color w:val="808080"/>
                <w:sz w:val="18"/>
                <w:szCs w:val="18"/>
              </w:rPr>
            </w:pPr>
            <w:r w:rsidRPr="00853647">
              <w:rPr>
                <w:rFonts w:cs="Arial"/>
                <w:color w:val="808080"/>
                <w:sz w:val="18"/>
                <w:szCs w:val="18"/>
              </w:rPr>
              <w:t xml:space="preserve">Pacific ex. </w:t>
            </w:r>
            <w:smartTag w:uri="urn:schemas-microsoft-com:office:smarttags" w:element="country-region">
              <w:r w:rsidRPr="00853647">
                <w:rPr>
                  <w:rFonts w:cs="Arial"/>
                  <w:color w:val="808080"/>
                  <w:sz w:val="18"/>
                  <w:szCs w:val="18"/>
                </w:rPr>
                <w:t>Japan</w:t>
              </w:r>
            </w:smartTag>
            <w:r w:rsidRPr="00853647">
              <w:rPr>
                <w:rFonts w:cs="Arial"/>
                <w:color w:val="808080"/>
                <w:sz w:val="18"/>
                <w:szCs w:val="18"/>
              </w:rPr>
              <w:t xml:space="preserve">: </w:t>
            </w:r>
            <w:smartTag w:uri="urn:schemas-microsoft-com:office:smarttags" w:element="country-region">
              <w:r w:rsidRPr="00853647">
                <w:rPr>
                  <w:rFonts w:cs="Arial"/>
                  <w:color w:val="808080"/>
                  <w:sz w:val="18"/>
                  <w:szCs w:val="18"/>
                </w:rPr>
                <w:t>Australia</w:t>
              </w:r>
            </w:smartTag>
            <w:r w:rsidRPr="00853647">
              <w:rPr>
                <w:rFonts w:cs="Arial"/>
                <w:color w:val="808080"/>
                <w:sz w:val="18"/>
                <w:szCs w:val="18"/>
              </w:rPr>
              <w:t xml:space="preserve">, </w:t>
            </w:r>
            <w:smartTag w:uri="urn:schemas-microsoft-com:office:smarttags" w:element="City">
              <w:r w:rsidRPr="00853647">
                <w:rPr>
                  <w:rFonts w:cs="Arial"/>
                  <w:color w:val="808080"/>
                  <w:sz w:val="18"/>
                  <w:szCs w:val="18"/>
                </w:rPr>
                <w:t>Hong Kong</w:t>
              </w:r>
            </w:smartTag>
            <w:r w:rsidRPr="00853647">
              <w:rPr>
                <w:rFonts w:cs="Arial"/>
                <w:color w:val="808080"/>
                <w:sz w:val="18"/>
                <w:szCs w:val="18"/>
              </w:rPr>
              <w:t xml:space="preserve">, </w:t>
            </w:r>
            <w:smartTag w:uri="urn:schemas-microsoft-com:office:smarttags" w:element="country-region">
              <w:r w:rsidRPr="00853647">
                <w:rPr>
                  <w:rFonts w:cs="Arial"/>
                  <w:color w:val="808080"/>
                  <w:sz w:val="18"/>
                  <w:szCs w:val="18"/>
                </w:rPr>
                <w:t>New Zealand</w:t>
              </w:r>
            </w:smartTag>
            <w:r w:rsidRPr="00853647">
              <w:rPr>
                <w:rFonts w:cs="Arial"/>
                <w:color w:val="808080"/>
                <w:sz w:val="18"/>
                <w:szCs w:val="18"/>
              </w:rPr>
              <w:t xml:space="preserve">, </w:t>
            </w:r>
            <w:smartTag w:uri="urn:schemas-microsoft-com:office:smarttags" w:element="country-region">
              <w:smartTag w:uri="urn:schemas-microsoft-com:office:smarttags" w:element="place">
                <w:r w:rsidRPr="00853647">
                  <w:rPr>
                    <w:rFonts w:cs="Arial"/>
                    <w:color w:val="808080"/>
                    <w:sz w:val="18"/>
                    <w:szCs w:val="18"/>
                  </w:rPr>
                  <w:t>Singapore</w:t>
                </w:r>
              </w:smartTag>
            </w:smartTag>
          </w:p>
          <w:p w:rsidR="00292F9B" w:rsidRPr="00853647" w:rsidRDefault="00292F9B" w:rsidP="00C60FE5">
            <w:pPr>
              <w:jc w:val="both"/>
              <w:rPr>
                <w:rFonts w:cs="Arial"/>
                <w:color w:val="808080"/>
                <w:sz w:val="18"/>
                <w:szCs w:val="18"/>
              </w:rPr>
            </w:pPr>
            <w:r w:rsidRPr="00853647">
              <w:rPr>
                <w:rFonts w:cs="Arial"/>
                <w:color w:val="808080"/>
                <w:sz w:val="18"/>
                <w:szCs w:val="18"/>
              </w:rPr>
              <w:t xml:space="preserve">Emerging Asia: </w:t>
            </w:r>
            <w:smartTag w:uri="urn:schemas-microsoft-com:office:smarttags" w:element="country-region">
              <w:r w:rsidRPr="00853647">
                <w:rPr>
                  <w:rFonts w:cs="Arial"/>
                  <w:color w:val="808080"/>
                  <w:sz w:val="18"/>
                  <w:szCs w:val="18"/>
                </w:rPr>
                <w:t>China</w:t>
              </w:r>
            </w:smartTag>
            <w:r w:rsidRPr="00853647">
              <w:rPr>
                <w:rFonts w:cs="Arial"/>
                <w:color w:val="808080"/>
                <w:sz w:val="18"/>
                <w:szCs w:val="18"/>
              </w:rPr>
              <w:t xml:space="preserve">, </w:t>
            </w:r>
            <w:smartTag w:uri="urn:schemas-microsoft-com:office:smarttags" w:element="country-region">
              <w:r w:rsidRPr="00853647">
                <w:rPr>
                  <w:rFonts w:cs="Arial"/>
                  <w:color w:val="808080"/>
                  <w:sz w:val="18"/>
                  <w:szCs w:val="18"/>
                </w:rPr>
                <w:t>India</w:t>
              </w:r>
            </w:smartTag>
            <w:r w:rsidRPr="00853647">
              <w:rPr>
                <w:rFonts w:cs="Arial"/>
                <w:color w:val="808080"/>
                <w:sz w:val="18"/>
                <w:szCs w:val="18"/>
              </w:rPr>
              <w:t xml:space="preserve">, </w:t>
            </w:r>
            <w:smartTag w:uri="urn:schemas-microsoft-com:office:smarttags" w:element="country-region">
              <w:r w:rsidRPr="00853647">
                <w:rPr>
                  <w:rFonts w:cs="Arial"/>
                  <w:color w:val="808080"/>
                  <w:sz w:val="18"/>
                  <w:szCs w:val="18"/>
                </w:rPr>
                <w:t>Indonesia</w:t>
              </w:r>
            </w:smartTag>
            <w:r w:rsidRPr="00853647">
              <w:rPr>
                <w:rFonts w:cs="Arial"/>
                <w:color w:val="808080"/>
                <w:sz w:val="18"/>
                <w:szCs w:val="18"/>
              </w:rPr>
              <w:t xml:space="preserve">, </w:t>
            </w:r>
            <w:smartTag w:uri="urn:schemas-microsoft-com:office:smarttags" w:element="country-region">
              <w:r w:rsidRPr="00853647">
                <w:rPr>
                  <w:rFonts w:cs="Arial"/>
                  <w:color w:val="808080"/>
                  <w:sz w:val="18"/>
                  <w:szCs w:val="18"/>
                </w:rPr>
                <w:t>Malaysia</w:t>
              </w:r>
            </w:smartTag>
            <w:r w:rsidRPr="00853647">
              <w:rPr>
                <w:rFonts w:cs="Arial"/>
                <w:color w:val="808080"/>
                <w:sz w:val="18"/>
                <w:szCs w:val="18"/>
              </w:rPr>
              <w:t xml:space="preserve">, </w:t>
            </w:r>
            <w:smartTag w:uri="urn:schemas-microsoft-com:office:smarttags" w:element="country-region">
              <w:r w:rsidRPr="00853647">
                <w:rPr>
                  <w:rFonts w:cs="Arial"/>
                  <w:color w:val="808080"/>
                  <w:sz w:val="18"/>
                  <w:szCs w:val="18"/>
                </w:rPr>
                <w:t>Philippines</w:t>
              </w:r>
            </w:smartTag>
            <w:r w:rsidRPr="00853647">
              <w:rPr>
                <w:rFonts w:cs="Arial"/>
                <w:color w:val="808080"/>
                <w:sz w:val="18"/>
                <w:szCs w:val="18"/>
              </w:rPr>
              <w:t xml:space="preserve">, </w:t>
            </w:r>
            <w:smartTag w:uri="urn:schemas-microsoft-com:office:smarttags" w:element="country-region">
              <w:r w:rsidRPr="00853647">
                <w:rPr>
                  <w:rFonts w:cs="Arial"/>
                  <w:color w:val="808080"/>
                  <w:sz w:val="18"/>
                  <w:szCs w:val="18"/>
                </w:rPr>
                <w:t>South Korea</w:t>
              </w:r>
            </w:smartTag>
            <w:r w:rsidRPr="00853647">
              <w:rPr>
                <w:rFonts w:cs="Arial"/>
                <w:color w:val="808080"/>
                <w:sz w:val="18"/>
                <w:szCs w:val="18"/>
              </w:rPr>
              <w:t xml:space="preserve">, </w:t>
            </w:r>
            <w:smartTag w:uri="urn:schemas-microsoft-com:office:smarttags" w:element="country-region">
              <w:r w:rsidRPr="00853647">
                <w:rPr>
                  <w:rFonts w:cs="Arial"/>
                  <w:color w:val="808080"/>
                  <w:sz w:val="18"/>
                  <w:szCs w:val="18"/>
                </w:rPr>
                <w:t>Taiwan</w:t>
              </w:r>
            </w:smartTag>
            <w:r w:rsidRPr="00853647">
              <w:rPr>
                <w:rFonts w:cs="Arial"/>
                <w:color w:val="808080"/>
                <w:sz w:val="18"/>
                <w:szCs w:val="18"/>
              </w:rPr>
              <w:t xml:space="preserve">, </w:t>
            </w:r>
            <w:smartTag w:uri="urn:schemas-microsoft-com:office:smarttags" w:element="country-region">
              <w:smartTag w:uri="urn:schemas-microsoft-com:office:smarttags" w:element="place">
                <w:r w:rsidRPr="00853647">
                  <w:rPr>
                    <w:rFonts w:cs="Arial"/>
                    <w:color w:val="808080"/>
                    <w:sz w:val="18"/>
                    <w:szCs w:val="18"/>
                  </w:rPr>
                  <w:t>Thailand</w:t>
                </w:r>
              </w:smartTag>
            </w:smartTag>
          </w:p>
          <w:p w:rsidR="00292F9B" w:rsidRPr="00853647" w:rsidRDefault="00292F9B" w:rsidP="00C60FE5">
            <w:pPr>
              <w:jc w:val="both"/>
              <w:rPr>
                <w:rFonts w:cs="Arial"/>
                <w:color w:val="808080"/>
                <w:sz w:val="18"/>
                <w:szCs w:val="18"/>
              </w:rPr>
            </w:pPr>
            <w:r w:rsidRPr="00853647">
              <w:rPr>
                <w:rFonts w:cs="Arial"/>
                <w:color w:val="808080"/>
                <w:sz w:val="18"/>
                <w:szCs w:val="18"/>
              </w:rPr>
              <w:t>Emerging markets: China, India, Indonesia, Malaysia, Philippines, South Korea, Taiwan, Thailand, Argentina, Brazil, Colombia, Chile, Mexico, Peru, Venezuela, South Africa, Czech Republic, Hungary, Poland, Romania, Russia, Turkey, Ukraine, Bulgaria, Croatia, Estonia, Latvia, Lithuania</w:t>
            </w:r>
          </w:p>
          <w:p w:rsidR="00292F9B" w:rsidRPr="000D226B" w:rsidRDefault="00292F9B" w:rsidP="00C60FE5">
            <w:pPr>
              <w:jc w:val="both"/>
              <w:rPr>
                <w:rFonts w:cs="Arial"/>
                <w:color w:val="808080"/>
                <w:sz w:val="18"/>
                <w:szCs w:val="18"/>
                <w:highlight w:val="lightGray"/>
              </w:rPr>
            </w:pPr>
          </w:p>
        </w:tc>
      </w:tr>
    </w:tbl>
    <w:p w:rsidR="00292F9B" w:rsidRPr="00853647" w:rsidRDefault="00292F9B" w:rsidP="00292F9B">
      <w:pPr>
        <w:pStyle w:val="Corpodetexto"/>
        <w:spacing w:before="40"/>
        <w:rPr>
          <w:rFonts w:ascii="Arial" w:hAnsi="Arial" w:cs="Arial"/>
          <w:sz w:val="16"/>
          <w:szCs w:val="16"/>
        </w:rPr>
      </w:pPr>
      <w:r w:rsidRPr="00853647">
        <w:rPr>
          <w:rFonts w:ascii="Arial" w:hAnsi="Arial" w:cs="Arial"/>
          <w:sz w:val="16"/>
          <w:szCs w:val="16"/>
        </w:rPr>
        <w:t xml:space="preserve">The views and opinions contained herein are those of Schroder Investments Management's Economics team, and may not necessarily represent views expressed or reflected in other Schroders communications, strategies or funds. </w:t>
      </w:r>
    </w:p>
    <w:p w:rsidR="00292F9B" w:rsidRPr="00892AB0" w:rsidRDefault="00292F9B" w:rsidP="00292F9B">
      <w:pPr>
        <w:pStyle w:val="Corpodetexto"/>
        <w:spacing w:before="40"/>
        <w:rPr>
          <w:rFonts w:ascii="Arial" w:hAnsi="Arial" w:cs="Arial"/>
          <w:color w:val="808080"/>
          <w:sz w:val="16"/>
          <w:szCs w:val="16"/>
        </w:rPr>
      </w:pPr>
      <w:r w:rsidRPr="00853647">
        <w:rPr>
          <w:rFonts w:ascii="Arial" w:hAnsi="Arial" w:cs="Arial"/>
          <w:sz w:val="16"/>
          <w:szCs w:val="16"/>
        </w:rPr>
        <w:t>This document does not constitute an offer to sell or any solicitation of any offer to buy securities or any other instrument described in this document. The information and opinions contained in this document have been obtained from sources we consider to be reliable. No responsibility can be accepted for errors of fact or opinion. This does not exclude or restrict any duty or liability that Schroders has to its customers under the Financial Services and Markets Act 2000 (as amended from time to time) or any other regulatory system. Reliance should not be placed on the views and information in the document when taking individual investment and/or strategic decisions. For your security, communications may be taped or monitored.</w:t>
      </w:r>
    </w:p>
    <w:p w:rsidR="00292F9B" w:rsidRDefault="00292F9B" w:rsidP="00292F9B"/>
    <w:p w:rsidR="00292F9B" w:rsidRPr="00853647" w:rsidRDefault="00292F9B" w:rsidP="004D1287">
      <w:pPr>
        <w:jc w:val="both"/>
        <w:rPr>
          <w:rFonts w:cs="Arial"/>
          <w:sz w:val="21"/>
          <w:szCs w:val="21"/>
        </w:rPr>
      </w:pPr>
    </w:p>
    <w:p w:rsidR="004D1287" w:rsidRPr="00853647" w:rsidRDefault="004D1287" w:rsidP="004D1287">
      <w:pPr>
        <w:jc w:val="both"/>
        <w:rPr>
          <w:rFonts w:cs="Arial"/>
          <w:sz w:val="8"/>
          <w:szCs w:val="8"/>
        </w:rPr>
      </w:pPr>
    </w:p>
    <w:sectPr w:rsidR="004D1287" w:rsidRPr="00853647" w:rsidSect="004D1287">
      <w:footerReference w:type="first" r:id="rId29"/>
      <w:pgSz w:w="11904" w:h="16838" w:code="9"/>
      <w:pgMar w:top="238" w:right="1128" w:bottom="244" w:left="992" w:header="680" w:footer="79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4B" w:rsidRDefault="0040214B">
      <w:r>
        <w:separator/>
      </w:r>
    </w:p>
  </w:endnote>
  <w:endnote w:type="continuationSeparator" w:id="0">
    <w:p w:rsidR="0040214B" w:rsidRDefault="00402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62" w:rsidRDefault="00080862" w:rsidP="00BB0D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862" w:rsidRDefault="00080862" w:rsidP="00BB0DEB">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62" w:rsidRDefault="00080862" w:rsidP="00BB0D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5A04">
      <w:rPr>
        <w:rStyle w:val="Nmerodepgina"/>
        <w:noProof/>
      </w:rPr>
      <w:t>15</w:t>
    </w:r>
    <w:r>
      <w:rPr>
        <w:rStyle w:val="Nmerodepgina"/>
      </w:rPr>
      <w:fldChar w:fldCharType="end"/>
    </w:r>
  </w:p>
  <w:p w:rsidR="00080862" w:rsidRDefault="00080862" w:rsidP="00A27720">
    <w:pPr>
      <w:pStyle w:val="QTabletext"/>
      <w:spacing w:line="120" w:lineRule="exact"/>
      <w:rPr>
        <w:sz w:val="14"/>
        <w:szCs w:val="14"/>
      </w:rPr>
    </w:pPr>
  </w:p>
  <w:p w:rsidR="00080862" w:rsidRPr="00742CEB" w:rsidRDefault="0080297B" w:rsidP="00A27720">
    <w:pPr>
      <w:pStyle w:val="QTabletext"/>
      <w:spacing w:line="120" w:lineRule="exact"/>
      <w:rPr>
        <w:sz w:val="14"/>
        <w:szCs w:val="14"/>
      </w:rPr>
    </w:pPr>
    <w:r>
      <w:rPr>
        <w:sz w:val="14"/>
        <w:szCs w:val="14"/>
      </w:rPr>
      <w:t>Issued in April</w:t>
    </w:r>
    <w:r w:rsidR="0037717C">
      <w:rPr>
        <w:sz w:val="14"/>
        <w:szCs w:val="14"/>
      </w:rPr>
      <w:t xml:space="preserve"> 2013</w:t>
    </w:r>
    <w:r w:rsidR="00080862">
      <w:rPr>
        <w:sz w:val="14"/>
        <w:szCs w:val="14"/>
      </w:rPr>
      <w:t xml:space="preserve"> </w:t>
    </w:r>
    <w:r w:rsidR="00080862" w:rsidRPr="00742CEB">
      <w:rPr>
        <w:sz w:val="14"/>
        <w:szCs w:val="14"/>
      </w:rPr>
      <w:t>Schroder Investment Management Limited.</w:t>
    </w:r>
  </w:p>
  <w:p w:rsidR="00080862" w:rsidRPr="00742CEB" w:rsidRDefault="00295A04" w:rsidP="00A27720">
    <w:pPr>
      <w:pStyle w:val="QTabletext"/>
      <w:spacing w:line="120" w:lineRule="exact"/>
      <w:rPr>
        <w:sz w:val="14"/>
        <w:szCs w:val="14"/>
      </w:rPr>
    </w:pPr>
    <w:r>
      <w:rPr>
        <w:noProof/>
        <w:sz w:val="14"/>
        <w:szCs w:val="14"/>
        <w:lang w:val="pt-PT" w:eastAsia="pt-PT"/>
      </w:rPr>
      <w:drawing>
        <wp:anchor distT="0" distB="0" distL="114300" distR="114300" simplePos="0" relativeHeight="251658240" behindDoc="0" locked="0" layoutInCell="1" allowOverlap="0">
          <wp:simplePos x="0" y="0"/>
          <wp:positionH relativeFrom="column">
            <wp:posOffset>4450715</wp:posOffset>
          </wp:positionH>
          <wp:positionV relativeFrom="paragraph">
            <wp:posOffset>12700</wp:posOffset>
          </wp:positionV>
          <wp:extent cx="1743075" cy="295275"/>
          <wp:effectExtent l="19050" t="0" r="9525" b="0"/>
          <wp:wrapSquare wrapText="bothSides"/>
          <wp:docPr id="22" name="Imagem 22" descr="Sch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h 281"/>
                  <pic:cNvPicPr>
                    <a:picLocks noChangeAspect="1" noChangeArrowheads="1"/>
                  </pic:cNvPicPr>
                </pic:nvPicPr>
                <pic:blipFill>
                  <a:blip r:embed="rId1"/>
                  <a:srcRect/>
                  <a:stretch>
                    <a:fillRect/>
                  </a:stretch>
                </pic:blipFill>
                <pic:spPr bwMode="auto">
                  <a:xfrm>
                    <a:off x="0" y="0"/>
                    <a:ext cx="1743075" cy="295275"/>
                  </a:xfrm>
                  <a:prstGeom prst="rect">
                    <a:avLst/>
                  </a:prstGeom>
                  <a:noFill/>
                  <a:ln w="9525">
                    <a:noFill/>
                    <a:miter lim="800000"/>
                    <a:headEnd/>
                    <a:tailEnd/>
                  </a:ln>
                </pic:spPr>
              </pic:pic>
            </a:graphicData>
          </a:graphic>
        </wp:anchor>
      </w:drawing>
    </w:r>
    <w:r w:rsidR="00080862" w:rsidRPr="00742CEB">
      <w:rPr>
        <w:sz w:val="14"/>
        <w:szCs w:val="14"/>
      </w:rPr>
      <w:t xml:space="preserve">31 Gresham Street, London EC2V 7QA. Registered No. 1893220 England.                                                                                                                                                                                                        </w:t>
    </w:r>
  </w:p>
  <w:p w:rsidR="00080862" w:rsidRPr="00A27720" w:rsidRDefault="00295A04" w:rsidP="00A27720">
    <w:pPr>
      <w:pStyle w:val="QTabletext"/>
      <w:spacing w:line="120" w:lineRule="exact"/>
      <w:rPr>
        <w:sz w:val="14"/>
        <w:szCs w:val="14"/>
      </w:rPr>
    </w:pPr>
    <w:r>
      <w:rPr>
        <w:noProof/>
        <w:sz w:val="14"/>
        <w:szCs w:val="14"/>
        <w:lang w:val="pt-PT" w:eastAsia="pt-PT"/>
      </w:rPr>
      <w:drawing>
        <wp:anchor distT="0" distB="0" distL="114300" distR="114300" simplePos="0" relativeHeight="251657216" behindDoc="0" locked="1" layoutInCell="1" allowOverlap="1">
          <wp:simplePos x="0" y="0"/>
          <wp:positionH relativeFrom="column">
            <wp:posOffset>2959100</wp:posOffset>
          </wp:positionH>
          <wp:positionV relativeFrom="paragraph">
            <wp:posOffset>2879090</wp:posOffset>
          </wp:positionV>
          <wp:extent cx="1738630" cy="297180"/>
          <wp:effectExtent l="19050" t="0" r="0" b="0"/>
          <wp:wrapNone/>
          <wp:docPr id="21" name="Imagem 21" descr="Sch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 281"/>
                  <pic:cNvPicPr>
                    <a:picLocks noChangeAspect="1" noChangeArrowheads="1"/>
                  </pic:cNvPicPr>
                </pic:nvPicPr>
                <pic:blipFill>
                  <a:blip r:embed="rId1"/>
                  <a:srcRect/>
                  <a:stretch>
                    <a:fillRect/>
                  </a:stretch>
                </pic:blipFill>
                <pic:spPr bwMode="auto">
                  <a:xfrm>
                    <a:off x="0" y="0"/>
                    <a:ext cx="1738630" cy="297180"/>
                  </a:xfrm>
                  <a:prstGeom prst="rect">
                    <a:avLst/>
                  </a:prstGeom>
                  <a:noFill/>
                  <a:ln w="9525">
                    <a:noFill/>
                    <a:miter lim="800000"/>
                    <a:headEnd/>
                    <a:tailEnd/>
                  </a:ln>
                </pic:spPr>
              </pic:pic>
            </a:graphicData>
          </a:graphic>
        </wp:anchor>
      </w:drawing>
    </w:r>
    <w:r w:rsidR="00080862" w:rsidRPr="00742CEB">
      <w:rPr>
        <w:sz w:val="14"/>
        <w:szCs w:val="14"/>
      </w:rPr>
      <w:t>Authorised and reg</w:t>
    </w:r>
    <w:r w:rsidR="00D07985">
      <w:rPr>
        <w:sz w:val="14"/>
        <w:szCs w:val="14"/>
      </w:rPr>
      <w:t>ulated by the Financial Conduct</w:t>
    </w:r>
    <w:r w:rsidR="00080862" w:rsidRPr="00742CEB">
      <w:rPr>
        <w:sz w:val="14"/>
        <w:szCs w:val="14"/>
      </w:rPr>
      <w:t xml:space="preserve"> Authority</w:t>
    </w:r>
    <w:r>
      <w:rPr>
        <w:noProof/>
        <w:lang w:val="pt-PT" w:eastAsia="pt-PT"/>
      </w:rPr>
      <w:drawing>
        <wp:anchor distT="0" distB="0" distL="114300" distR="114300" simplePos="0" relativeHeight="251655168" behindDoc="0" locked="1" layoutInCell="1" allowOverlap="1">
          <wp:simplePos x="0" y="0"/>
          <wp:positionH relativeFrom="column">
            <wp:posOffset>7655560</wp:posOffset>
          </wp:positionH>
          <wp:positionV relativeFrom="paragraph">
            <wp:posOffset>7620</wp:posOffset>
          </wp:positionV>
          <wp:extent cx="1738630" cy="29718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38630" cy="29718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62" w:rsidRDefault="00080862">
    <w:pPr>
      <w:pStyle w:val="Rodap"/>
    </w:pPr>
    <w:r>
      <w:rPr>
        <w:noProof/>
        <w:lang w:eastAsia="en-GB"/>
      </w:rPr>
      <w:pict>
        <v:group id="_x0000_s2052" style="position:absolute;margin-left:0;margin-top:-16.85pt;width:489.05pt;height:53.3pt;z-index:251656192" coordorigin="1000,15393" coordsize="9781,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000;top:15393;width:9781;height:1066">
            <v:imagedata r:id="rId1" o:title=""/>
          </v:shape>
          <v:group id="_x0000_s2054" style="position:absolute;left:1161;top:15484;width:5367;height:810" coordorigin="1161,15484" coordsize="5367,810">
            <v:shapetype id="_x0000_t202" coordsize="21600,21600" o:spt="202" path="m,l,21600r21600,l21600,xe">
              <v:stroke joinstyle="miter"/>
              <v:path gradientshapeok="t" o:connecttype="rect"/>
            </v:shapetype>
            <v:shape id="_x0000_s2055" type="#_x0000_t202" style="position:absolute;left:1161;top:15484;width:4777;height:810" filled="f" stroked="f">
              <v:textbox style="mso-next-textbox:#_x0000_s2055" inset="0,0,0,0">
                <w:txbxContent>
                  <w:p w:rsidR="00080862" w:rsidRPr="005C2A20" w:rsidRDefault="00080862" w:rsidP="00A6510F">
                    <w:pPr>
                      <w:pStyle w:val="Rodap"/>
                      <w:tabs>
                        <w:tab w:val="left" w:pos="0"/>
                      </w:tabs>
                      <w:spacing w:before="200"/>
                      <w:jc w:val="right"/>
                      <w:rPr>
                        <w:color w:val="FFFFFF"/>
                        <w:sz w:val="14"/>
                        <w:szCs w:val="14"/>
                      </w:rPr>
                    </w:pPr>
                    <w:r>
                      <w:rPr>
                        <w:color w:val="FFFFFF"/>
                        <w:sz w:val="14"/>
                        <w:szCs w:val="14"/>
                      </w:rPr>
                      <w:t xml:space="preserve">Issued in </w:t>
                    </w:r>
                    <w:r w:rsidR="00D07985">
                      <w:rPr>
                        <w:color w:val="FFFFFF"/>
                        <w:sz w:val="14"/>
                        <w:szCs w:val="14"/>
                      </w:rPr>
                      <w:t>April</w:t>
                    </w:r>
                    <w:r w:rsidR="0037717C">
                      <w:rPr>
                        <w:color w:val="FFFFFF"/>
                        <w:sz w:val="14"/>
                        <w:szCs w:val="14"/>
                      </w:rPr>
                      <w:t xml:space="preserve"> 2013</w:t>
                    </w:r>
                    <w:r>
                      <w:rPr>
                        <w:color w:val="FFFFFF"/>
                        <w:sz w:val="14"/>
                        <w:szCs w:val="14"/>
                      </w:rPr>
                      <w:t xml:space="preserve"> by Schroder Investment Management</w:t>
                    </w:r>
                    <w:r w:rsidRPr="005C2A20">
                      <w:rPr>
                        <w:color w:val="FFFFFF"/>
                        <w:sz w:val="14"/>
                        <w:szCs w:val="14"/>
                      </w:rPr>
                      <w:t xml:space="preserve"> Limited.</w:t>
                    </w:r>
                  </w:p>
                  <w:p w:rsidR="00080862" w:rsidRPr="005C2A20" w:rsidRDefault="00080862" w:rsidP="00A6510F">
                    <w:pPr>
                      <w:pStyle w:val="Rodap"/>
                      <w:tabs>
                        <w:tab w:val="left" w:pos="0"/>
                      </w:tabs>
                      <w:jc w:val="right"/>
                      <w:rPr>
                        <w:color w:val="FFFFFF"/>
                        <w:sz w:val="14"/>
                        <w:szCs w:val="14"/>
                      </w:rPr>
                    </w:pPr>
                    <w:r w:rsidRPr="005C2A20">
                      <w:rPr>
                        <w:color w:val="FFFFFF"/>
                        <w:sz w:val="14"/>
                        <w:szCs w:val="14"/>
                      </w:rPr>
                      <w:t xml:space="preserve">31 Gresham Street, London EC2V 7QA. Registered No. </w:t>
                    </w:r>
                    <w:r w:rsidRPr="000C1EFE">
                      <w:rPr>
                        <w:color w:val="FFFFFF"/>
                        <w:sz w:val="14"/>
                        <w:szCs w:val="14"/>
                      </w:rPr>
                      <w:t>1893220</w:t>
                    </w:r>
                    <w:r>
                      <w:rPr>
                        <w:color w:val="FFFFFF"/>
                        <w:sz w:val="14"/>
                        <w:szCs w:val="14"/>
                      </w:rPr>
                      <w:t xml:space="preserve"> </w:t>
                    </w:r>
                    <w:r w:rsidRPr="005C2A20">
                      <w:rPr>
                        <w:color w:val="FFFFFF"/>
                        <w:sz w:val="14"/>
                        <w:szCs w:val="14"/>
                      </w:rPr>
                      <w:t>England.</w:t>
                    </w:r>
                  </w:p>
                  <w:p w:rsidR="00080862" w:rsidRPr="007F7AF2" w:rsidRDefault="00080862" w:rsidP="00A6510F">
                    <w:pPr>
                      <w:pStyle w:val="Rodap"/>
                      <w:tabs>
                        <w:tab w:val="left" w:pos="0"/>
                        <w:tab w:val="left" w:pos="284"/>
                        <w:tab w:val="left" w:pos="1040"/>
                        <w:tab w:val="left" w:pos="1134"/>
                        <w:tab w:val="left" w:pos="2268"/>
                      </w:tabs>
                      <w:jc w:val="right"/>
                      <w:rPr>
                        <w:color w:val="FFFFFF"/>
                        <w:sz w:val="14"/>
                      </w:rPr>
                    </w:pPr>
                    <w:r w:rsidRPr="007F7AF2">
                      <w:rPr>
                        <w:color w:val="FFFFFF"/>
                        <w:sz w:val="14"/>
                      </w:rPr>
                      <w:t xml:space="preserve">Authorised and regulated by the Financial </w:t>
                    </w:r>
                    <w:r w:rsidR="00341EC5">
                      <w:rPr>
                        <w:color w:val="FFFFFF"/>
                        <w:sz w:val="14"/>
                      </w:rPr>
                      <w:t>Conduct</w:t>
                    </w:r>
                    <w:r w:rsidRPr="007F7AF2">
                      <w:rPr>
                        <w:color w:val="FFFFFF"/>
                        <w:sz w:val="14"/>
                      </w:rPr>
                      <w:t xml:space="preserve"> Authority</w:t>
                    </w:r>
                    <w:r>
                      <w:rPr>
                        <w:color w:val="FFFFFF"/>
                        <w:sz w:val="14"/>
                      </w:rPr>
                      <w:t>.</w:t>
                    </w:r>
                  </w:p>
                  <w:p w:rsidR="00080862" w:rsidRDefault="00080862" w:rsidP="00A6510F">
                    <w:pPr>
                      <w:tabs>
                        <w:tab w:val="left" w:pos="0"/>
                      </w:tabs>
                      <w:jc w:val="right"/>
                    </w:pPr>
                  </w:p>
                  <w:p w:rsidR="00080862" w:rsidRDefault="00080862" w:rsidP="00A6510F"/>
                </w:txbxContent>
              </v:textbox>
            </v:shape>
            <v:line id="_x0000_s2056" style="position:absolute" from="6528,15556" to="6528,16208" strokecolor="white"/>
          </v:group>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9E" w:rsidRDefault="00E9489E" w:rsidP="00770929">
    <w:pPr>
      <w:pStyle w:val="NB-Tabletext"/>
      <w:rPr>
        <w:rStyle w:val="Nmerodepgina"/>
        <w:spacing w:val="0"/>
        <w:sz w:val="20"/>
        <w:szCs w:val="20"/>
      </w:rPr>
    </w:pPr>
    <w:r>
      <w:rPr>
        <w:rStyle w:val="Nmerodepgina"/>
        <w:spacing w:val="0"/>
        <w:sz w:val="20"/>
        <w:szCs w:val="20"/>
      </w:rPr>
      <w:fldChar w:fldCharType="begin"/>
    </w:r>
    <w:r>
      <w:rPr>
        <w:rStyle w:val="Nmerodepgina"/>
        <w:spacing w:val="0"/>
        <w:sz w:val="20"/>
        <w:szCs w:val="20"/>
      </w:rPr>
      <w:instrText xml:space="preserve"> PAGE </w:instrText>
    </w:r>
    <w:r>
      <w:rPr>
        <w:rStyle w:val="Nmerodepgina"/>
        <w:spacing w:val="0"/>
        <w:sz w:val="20"/>
        <w:szCs w:val="20"/>
      </w:rPr>
      <w:fldChar w:fldCharType="separate"/>
    </w:r>
    <w:r w:rsidR="00295A04">
      <w:rPr>
        <w:rStyle w:val="Nmerodepgina"/>
        <w:noProof/>
        <w:spacing w:val="0"/>
        <w:sz w:val="20"/>
        <w:szCs w:val="20"/>
      </w:rPr>
      <w:t>2</w:t>
    </w:r>
    <w:r>
      <w:rPr>
        <w:rStyle w:val="Nmerodepgina"/>
        <w:spacing w:val="0"/>
        <w:sz w:val="20"/>
        <w:szCs w:val="20"/>
      </w:rPr>
      <w:fldChar w:fldCharType="end"/>
    </w:r>
  </w:p>
  <w:p w:rsidR="00E9489E" w:rsidRPr="00742CEB" w:rsidRDefault="00295A04" w:rsidP="00A27720">
    <w:pPr>
      <w:pStyle w:val="QTabletext"/>
      <w:spacing w:line="120" w:lineRule="exact"/>
      <w:rPr>
        <w:sz w:val="14"/>
        <w:szCs w:val="14"/>
      </w:rPr>
    </w:pPr>
    <w:r>
      <w:rPr>
        <w:noProof/>
        <w:sz w:val="14"/>
        <w:szCs w:val="14"/>
        <w:lang w:val="pt-PT" w:eastAsia="pt-PT"/>
      </w:rPr>
      <w:drawing>
        <wp:anchor distT="0" distB="0" distL="114300" distR="114300" simplePos="0" relativeHeight="251660288" behindDoc="0" locked="0" layoutInCell="1" allowOverlap="0">
          <wp:simplePos x="0" y="0"/>
          <wp:positionH relativeFrom="column">
            <wp:posOffset>4463415</wp:posOffset>
          </wp:positionH>
          <wp:positionV relativeFrom="paragraph">
            <wp:posOffset>3224530</wp:posOffset>
          </wp:positionV>
          <wp:extent cx="1743075" cy="295275"/>
          <wp:effectExtent l="19050" t="0" r="9525" b="0"/>
          <wp:wrapSquare wrapText="bothSides"/>
          <wp:docPr id="27" name="Imagem 27" descr="Sch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 281"/>
                  <pic:cNvPicPr>
                    <a:picLocks noChangeAspect="1" noChangeArrowheads="1"/>
                  </pic:cNvPicPr>
                </pic:nvPicPr>
                <pic:blipFill>
                  <a:blip r:embed="rId1"/>
                  <a:srcRect/>
                  <a:stretch>
                    <a:fillRect/>
                  </a:stretch>
                </pic:blipFill>
                <pic:spPr bwMode="auto">
                  <a:xfrm>
                    <a:off x="0" y="0"/>
                    <a:ext cx="1743075" cy="295275"/>
                  </a:xfrm>
                  <a:prstGeom prst="rect">
                    <a:avLst/>
                  </a:prstGeom>
                  <a:noFill/>
                  <a:ln w="9525">
                    <a:noFill/>
                    <a:miter lim="800000"/>
                    <a:headEnd/>
                    <a:tailEnd/>
                  </a:ln>
                </pic:spPr>
              </pic:pic>
            </a:graphicData>
          </a:graphic>
        </wp:anchor>
      </w:drawing>
    </w:r>
    <w:r w:rsidR="00E9489E" w:rsidRPr="00742CEB">
      <w:rPr>
        <w:sz w:val="14"/>
        <w:szCs w:val="14"/>
      </w:rPr>
      <w:t xml:space="preserve">Issued in </w:t>
    </w:r>
    <w:r w:rsidR="0080297B">
      <w:rPr>
        <w:sz w:val="14"/>
        <w:szCs w:val="14"/>
      </w:rPr>
      <w:t>April</w:t>
    </w:r>
    <w:r w:rsidR="00E9489E">
      <w:rPr>
        <w:sz w:val="14"/>
        <w:szCs w:val="14"/>
      </w:rPr>
      <w:t xml:space="preserve"> 2013 </w:t>
    </w:r>
    <w:r w:rsidR="00E9489E" w:rsidRPr="00742CEB">
      <w:rPr>
        <w:sz w:val="14"/>
        <w:szCs w:val="14"/>
      </w:rPr>
      <w:t>Schroder Investment Management Limited.</w:t>
    </w:r>
  </w:p>
  <w:p w:rsidR="00E9489E" w:rsidRPr="00742CEB" w:rsidRDefault="00E9489E" w:rsidP="00A27720">
    <w:pPr>
      <w:pStyle w:val="QTabletext"/>
      <w:spacing w:line="120" w:lineRule="exact"/>
      <w:rPr>
        <w:sz w:val="14"/>
        <w:szCs w:val="14"/>
      </w:rPr>
    </w:pPr>
    <w:r w:rsidRPr="00742CEB">
      <w:rPr>
        <w:sz w:val="14"/>
        <w:szCs w:val="14"/>
      </w:rPr>
      <w:t xml:space="preserve">31 Gresham Street, London EC2V 7QA. Registered No. 1893220 England.                                                                                                                                                                                                        </w:t>
    </w:r>
  </w:p>
  <w:p w:rsidR="00E9489E" w:rsidRPr="00742CEB" w:rsidRDefault="00295A04" w:rsidP="00A27720">
    <w:pPr>
      <w:pStyle w:val="QTabletext"/>
      <w:spacing w:line="120" w:lineRule="exact"/>
      <w:rPr>
        <w:sz w:val="14"/>
        <w:szCs w:val="14"/>
      </w:rPr>
    </w:pPr>
    <w:r>
      <w:rPr>
        <w:noProof/>
        <w:sz w:val="14"/>
        <w:szCs w:val="14"/>
        <w:lang w:val="pt-PT" w:eastAsia="pt-PT"/>
      </w:rPr>
      <w:drawing>
        <wp:anchor distT="0" distB="0" distL="114300" distR="114300" simplePos="0" relativeHeight="251659264" behindDoc="0" locked="1" layoutInCell="1" allowOverlap="1">
          <wp:simplePos x="0" y="0"/>
          <wp:positionH relativeFrom="column">
            <wp:posOffset>2959100</wp:posOffset>
          </wp:positionH>
          <wp:positionV relativeFrom="paragraph">
            <wp:posOffset>2879090</wp:posOffset>
          </wp:positionV>
          <wp:extent cx="1738630" cy="297180"/>
          <wp:effectExtent l="19050" t="0" r="0" b="0"/>
          <wp:wrapNone/>
          <wp:docPr id="26" name="Imagem 26" descr="Sch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 281"/>
                  <pic:cNvPicPr>
                    <a:picLocks noChangeAspect="1" noChangeArrowheads="1"/>
                  </pic:cNvPicPr>
                </pic:nvPicPr>
                <pic:blipFill>
                  <a:blip r:embed="rId1"/>
                  <a:srcRect/>
                  <a:stretch>
                    <a:fillRect/>
                  </a:stretch>
                </pic:blipFill>
                <pic:spPr bwMode="auto">
                  <a:xfrm>
                    <a:off x="0" y="0"/>
                    <a:ext cx="1738630" cy="297180"/>
                  </a:xfrm>
                  <a:prstGeom prst="rect">
                    <a:avLst/>
                  </a:prstGeom>
                  <a:noFill/>
                  <a:ln w="9525">
                    <a:noFill/>
                    <a:miter lim="800000"/>
                    <a:headEnd/>
                    <a:tailEnd/>
                  </a:ln>
                </pic:spPr>
              </pic:pic>
            </a:graphicData>
          </a:graphic>
        </wp:anchor>
      </w:drawing>
    </w:r>
    <w:r w:rsidR="00E9489E" w:rsidRPr="00742CEB">
      <w:rPr>
        <w:sz w:val="14"/>
        <w:szCs w:val="14"/>
      </w:rPr>
      <w:t>Authorised and reg</w:t>
    </w:r>
    <w:r w:rsidR="00D07985">
      <w:rPr>
        <w:sz w:val="14"/>
        <w:szCs w:val="14"/>
      </w:rPr>
      <w:t>ulated by the Financial Conduct</w:t>
    </w:r>
    <w:r w:rsidR="00E9489E" w:rsidRPr="00742CEB">
      <w:rPr>
        <w:sz w:val="14"/>
        <w:szCs w:val="14"/>
      </w:rPr>
      <w:t xml:space="preserve">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4B" w:rsidRDefault="0040214B">
      <w:r>
        <w:separator/>
      </w:r>
    </w:p>
  </w:footnote>
  <w:footnote w:type="continuationSeparator" w:id="0">
    <w:p w:rsidR="0040214B" w:rsidRDefault="00402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62" w:rsidRPr="00816562" w:rsidRDefault="0080297B" w:rsidP="006A029D">
    <w:pPr>
      <w:pStyle w:val="Cabealho"/>
      <w:tabs>
        <w:tab w:val="clear" w:pos="4153"/>
        <w:tab w:val="clear" w:pos="8306"/>
        <w:tab w:val="left" w:pos="7371"/>
      </w:tabs>
      <w:ind w:right="-422"/>
    </w:pPr>
    <w:r>
      <w:rPr>
        <w:b/>
      </w:rPr>
      <w:t>30 April</w:t>
    </w:r>
    <w:r w:rsidR="0037717C">
      <w:rPr>
        <w:b/>
      </w:rPr>
      <w:t xml:space="preserve"> 2013</w:t>
    </w:r>
    <w:r w:rsidR="00080862">
      <w:rPr>
        <w:b/>
      </w:rPr>
      <w:tab/>
    </w:r>
    <w:r w:rsidR="00080862" w:rsidRPr="00B45444">
      <w:rPr>
        <w:rFonts w:cs="Arial"/>
      </w:rPr>
      <w:t>For professional investors only</w:t>
    </w:r>
  </w:p>
  <w:p w:rsidR="00080862" w:rsidRDefault="000808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62" w:rsidRDefault="0080297B" w:rsidP="00D459B9">
    <w:pPr>
      <w:pStyle w:val="Cabealho"/>
      <w:tabs>
        <w:tab w:val="clear" w:pos="4153"/>
        <w:tab w:val="clear" w:pos="8306"/>
        <w:tab w:val="left" w:pos="7371"/>
      </w:tabs>
      <w:ind w:left="-142" w:right="-422" w:firstLine="142"/>
    </w:pPr>
    <w:r>
      <w:rPr>
        <w:b/>
      </w:rPr>
      <w:t>30 April</w:t>
    </w:r>
    <w:r w:rsidR="0037717C">
      <w:rPr>
        <w:b/>
      </w:rPr>
      <w:t xml:space="preserve"> 2013</w:t>
    </w:r>
    <w:r w:rsidR="00080862">
      <w:rPr>
        <w:b/>
      </w:rPr>
      <w:tab/>
    </w:r>
    <w:r w:rsidR="00080862" w:rsidRPr="00B45444">
      <w:rPr>
        <w:rFonts w:cs="Arial"/>
      </w:rPr>
      <w:t>For professional investors only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2D2"/>
    <w:multiLevelType w:val="singleLevel"/>
    <w:tmpl w:val="B9185E20"/>
    <w:lvl w:ilvl="0">
      <w:start w:val="1"/>
      <w:numFmt w:val="lowerLetter"/>
      <w:pStyle w:val="NB-aLetteredlistunbold"/>
      <w:lvlText w:val="%1."/>
      <w:lvlJc w:val="left"/>
      <w:pPr>
        <w:tabs>
          <w:tab w:val="num" w:pos="680"/>
        </w:tabs>
        <w:ind w:left="680" w:hanging="680"/>
      </w:pPr>
      <w:rPr>
        <w:rFonts w:cs="Times New Roman"/>
      </w:rPr>
    </w:lvl>
  </w:abstractNum>
  <w:abstractNum w:abstractNumId="1">
    <w:nsid w:val="07590375"/>
    <w:multiLevelType w:val="hybridMultilevel"/>
    <w:tmpl w:val="91DA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1118F"/>
    <w:multiLevelType w:val="hybridMultilevel"/>
    <w:tmpl w:val="94C6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D4921"/>
    <w:multiLevelType w:val="hybridMultilevel"/>
    <w:tmpl w:val="85907CE2"/>
    <w:lvl w:ilvl="0" w:tplc="08090001">
      <w:start w:val="1"/>
      <w:numFmt w:val="bullet"/>
      <w:lvlText w:val=""/>
      <w:lvlJc w:val="left"/>
      <w:pPr>
        <w:tabs>
          <w:tab w:val="num" w:pos="360"/>
        </w:tabs>
        <w:ind w:left="360" w:hanging="360"/>
      </w:pPr>
      <w:rPr>
        <w:rFonts w:ascii="Symbol" w:hAnsi="Symbol" w:hint="default"/>
      </w:rPr>
    </w:lvl>
    <w:lvl w:ilvl="1" w:tplc="758CD606" w:tentative="1">
      <w:start w:val="1"/>
      <w:numFmt w:val="bullet"/>
      <w:lvlText w:val=""/>
      <w:lvlJc w:val="left"/>
      <w:pPr>
        <w:tabs>
          <w:tab w:val="num" w:pos="1080"/>
        </w:tabs>
        <w:ind w:left="1080" w:hanging="360"/>
      </w:pPr>
      <w:rPr>
        <w:rFonts w:ascii="Wingdings" w:hAnsi="Wingdings" w:hint="default"/>
      </w:rPr>
    </w:lvl>
    <w:lvl w:ilvl="2" w:tplc="29284174" w:tentative="1">
      <w:start w:val="1"/>
      <w:numFmt w:val="bullet"/>
      <w:lvlText w:val=""/>
      <w:lvlJc w:val="left"/>
      <w:pPr>
        <w:tabs>
          <w:tab w:val="num" w:pos="1800"/>
        </w:tabs>
        <w:ind w:left="1800" w:hanging="360"/>
      </w:pPr>
      <w:rPr>
        <w:rFonts w:ascii="Wingdings" w:hAnsi="Wingdings" w:hint="default"/>
      </w:rPr>
    </w:lvl>
    <w:lvl w:ilvl="3" w:tplc="8738E83A" w:tentative="1">
      <w:start w:val="1"/>
      <w:numFmt w:val="bullet"/>
      <w:lvlText w:val=""/>
      <w:lvlJc w:val="left"/>
      <w:pPr>
        <w:tabs>
          <w:tab w:val="num" w:pos="2520"/>
        </w:tabs>
        <w:ind w:left="2520" w:hanging="360"/>
      </w:pPr>
      <w:rPr>
        <w:rFonts w:ascii="Wingdings" w:hAnsi="Wingdings" w:hint="default"/>
      </w:rPr>
    </w:lvl>
    <w:lvl w:ilvl="4" w:tplc="98043CFA" w:tentative="1">
      <w:start w:val="1"/>
      <w:numFmt w:val="bullet"/>
      <w:lvlText w:val=""/>
      <w:lvlJc w:val="left"/>
      <w:pPr>
        <w:tabs>
          <w:tab w:val="num" w:pos="3240"/>
        </w:tabs>
        <w:ind w:left="3240" w:hanging="360"/>
      </w:pPr>
      <w:rPr>
        <w:rFonts w:ascii="Wingdings" w:hAnsi="Wingdings" w:hint="default"/>
      </w:rPr>
    </w:lvl>
    <w:lvl w:ilvl="5" w:tplc="99D2B7BE" w:tentative="1">
      <w:start w:val="1"/>
      <w:numFmt w:val="bullet"/>
      <w:lvlText w:val=""/>
      <w:lvlJc w:val="left"/>
      <w:pPr>
        <w:tabs>
          <w:tab w:val="num" w:pos="3960"/>
        </w:tabs>
        <w:ind w:left="3960" w:hanging="360"/>
      </w:pPr>
      <w:rPr>
        <w:rFonts w:ascii="Wingdings" w:hAnsi="Wingdings" w:hint="default"/>
      </w:rPr>
    </w:lvl>
    <w:lvl w:ilvl="6" w:tplc="99AE0CBC" w:tentative="1">
      <w:start w:val="1"/>
      <w:numFmt w:val="bullet"/>
      <w:lvlText w:val=""/>
      <w:lvlJc w:val="left"/>
      <w:pPr>
        <w:tabs>
          <w:tab w:val="num" w:pos="4680"/>
        </w:tabs>
        <w:ind w:left="4680" w:hanging="360"/>
      </w:pPr>
      <w:rPr>
        <w:rFonts w:ascii="Wingdings" w:hAnsi="Wingdings" w:hint="default"/>
      </w:rPr>
    </w:lvl>
    <w:lvl w:ilvl="7" w:tplc="E168F8F8" w:tentative="1">
      <w:start w:val="1"/>
      <w:numFmt w:val="bullet"/>
      <w:lvlText w:val=""/>
      <w:lvlJc w:val="left"/>
      <w:pPr>
        <w:tabs>
          <w:tab w:val="num" w:pos="5400"/>
        </w:tabs>
        <w:ind w:left="5400" w:hanging="360"/>
      </w:pPr>
      <w:rPr>
        <w:rFonts w:ascii="Wingdings" w:hAnsi="Wingdings" w:hint="default"/>
      </w:rPr>
    </w:lvl>
    <w:lvl w:ilvl="8" w:tplc="C750DC68" w:tentative="1">
      <w:start w:val="1"/>
      <w:numFmt w:val="bullet"/>
      <w:lvlText w:val=""/>
      <w:lvlJc w:val="left"/>
      <w:pPr>
        <w:tabs>
          <w:tab w:val="num" w:pos="6120"/>
        </w:tabs>
        <w:ind w:left="6120" w:hanging="360"/>
      </w:pPr>
      <w:rPr>
        <w:rFonts w:ascii="Wingdings" w:hAnsi="Wingdings" w:hint="default"/>
      </w:rPr>
    </w:lvl>
  </w:abstractNum>
  <w:abstractNum w:abstractNumId="4">
    <w:nsid w:val="0E8B16C2"/>
    <w:multiLevelType w:val="hybridMultilevel"/>
    <w:tmpl w:val="97763726"/>
    <w:lvl w:ilvl="0" w:tplc="08090001">
      <w:start w:val="1"/>
      <w:numFmt w:val="bullet"/>
      <w:lvlText w:val=""/>
      <w:lvlJc w:val="left"/>
      <w:pPr>
        <w:tabs>
          <w:tab w:val="num" w:pos="360"/>
        </w:tabs>
        <w:ind w:left="360" w:hanging="360"/>
      </w:pPr>
      <w:rPr>
        <w:rFonts w:ascii="Symbol" w:hAnsi="Symbol" w:hint="default"/>
      </w:rPr>
    </w:lvl>
    <w:lvl w:ilvl="1" w:tplc="7D7C643A" w:tentative="1">
      <w:start w:val="1"/>
      <w:numFmt w:val="bullet"/>
      <w:lvlText w:val=""/>
      <w:lvlJc w:val="left"/>
      <w:pPr>
        <w:tabs>
          <w:tab w:val="num" w:pos="1080"/>
        </w:tabs>
        <w:ind w:left="1080" w:hanging="360"/>
      </w:pPr>
      <w:rPr>
        <w:rFonts w:ascii="Wingdings" w:hAnsi="Wingdings" w:hint="default"/>
      </w:rPr>
    </w:lvl>
    <w:lvl w:ilvl="2" w:tplc="6C766278" w:tentative="1">
      <w:start w:val="1"/>
      <w:numFmt w:val="bullet"/>
      <w:lvlText w:val=""/>
      <w:lvlJc w:val="left"/>
      <w:pPr>
        <w:tabs>
          <w:tab w:val="num" w:pos="1800"/>
        </w:tabs>
        <w:ind w:left="1800" w:hanging="360"/>
      </w:pPr>
      <w:rPr>
        <w:rFonts w:ascii="Wingdings" w:hAnsi="Wingdings" w:hint="default"/>
      </w:rPr>
    </w:lvl>
    <w:lvl w:ilvl="3" w:tplc="1EECBCA4" w:tentative="1">
      <w:start w:val="1"/>
      <w:numFmt w:val="bullet"/>
      <w:lvlText w:val=""/>
      <w:lvlJc w:val="left"/>
      <w:pPr>
        <w:tabs>
          <w:tab w:val="num" w:pos="2520"/>
        </w:tabs>
        <w:ind w:left="2520" w:hanging="360"/>
      </w:pPr>
      <w:rPr>
        <w:rFonts w:ascii="Wingdings" w:hAnsi="Wingdings" w:hint="default"/>
      </w:rPr>
    </w:lvl>
    <w:lvl w:ilvl="4" w:tplc="68AC2ED4" w:tentative="1">
      <w:start w:val="1"/>
      <w:numFmt w:val="bullet"/>
      <w:lvlText w:val=""/>
      <w:lvlJc w:val="left"/>
      <w:pPr>
        <w:tabs>
          <w:tab w:val="num" w:pos="3240"/>
        </w:tabs>
        <w:ind w:left="3240" w:hanging="360"/>
      </w:pPr>
      <w:rPr>
        <w:rFonts w:ascii="Wingdings" w:hAnsi="Wingdings" w:hint="default"/>
      </w:rPr>
    </w:lvl>
    <w:lvl w:ilvl="5" w:tplc="E8B4BE9C" w:tentative="1">
      <w:start w:val="1"/>
      <w:numFmt w:val="bullet"/>
      <w:lvlText w:val=""/>
      <w:lvlJc w:val="left"/>
      <w:pPr>
        <w:tabs>
          <w:tab w:val="num" w:pos="3960"/>
        </w:tabs>
        <w:ind w:left="3960" w:hanging="360"/>
      </w:pPr>
      <w:rPr>
        <w:rFonts w:ascii="Wingdings" w:hAnsi="Wingdings" w:hint="default"/>
      </w:rPr>
    </w:lvl>
    <w:lvl w:ilvl="6" w:tplc="EDCE887A" w:tentative="1">
      <w:start w:val="1"/>
      <w:numFmt w:val="bullet"/>
      <w:lvlText w:val=""/>
      <w:lvlJc w:val="left"/>
      <w:pPr>
        <w:tabs>
          <w:tab w:val="num" w:pos="4680"/>
        </w:tabs>
        <w:ind w:left="4680" w:hanging="360"/>
      </w:pPr>
      <w:rPr>
        <w:rFonts w:ascii="Wingdings" w:hAnsi="Wingdings" w:hint="default"/>
      </w:rPr>
    </w:lvl>
    <w:lvl w:ilvl="7" w:tplc="10D2B600" w:tentative="1">
      <w:start w:val="1"/>
      <w:numFmt w:val="bullet"/>
      <w:lvlText w:val=""/>
      <w:lvlJc w:val="left"/>
      <w:pPr>
        <w:tabs>
          <w:tab w:val="num" w:pos="5400"/>
        </w:tabs>
        <w:ind w:left="5400" w:hanging="360"/>
      </w:pPr>
      <w:rPr>
        <w:rFonts w:ascii="Wingdings" w:hAnsi="Wingdings" w:hint="default"/>
      </w:rPr>
    </w:lvl>
    <w:lvl w:ilvl="8" w:tplc="980233B2" w:tentative="1">
      <w:start w:val="1"/>
      <w:numFmt w:val="bullet"/>
      <w:lvlText w:val=""/>
      <w:lvlJc w:val="left"/>
      <w:pPr>
        <w:tabs>
          <w:tab w:val="num" w:pos="6120"/>
        </w:tabs>
        <w:ind w:left="6120" w:hanging="360"/>
      </w:pPr>
      <w:rPr>
        <w:rFonts w:ascii="Wingdings" w:hAnsi="Wingdings" w:hint="default"/>
      </w:rPr>
    </w:lvl>
  </w:abstractNum>
  <w:abstractNum w:abstractNumId="5">
    <w:nsid w:val="143E518B"/>
    <w:multiLevelType w:val="hybridMultilevel"/>
    <w:tmpl w:val="747E8702"/>
    <w:lvl w:ilvl="0" w:tplc="BF84BFB0">
      <w:start w:val="1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175556AC"/>
    <w:multiLevelType w:val="hybridMultilevel"/>
    <w:tmpl w:val="98BE4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8900EEF"/>
    <w:multiLevelType w:val="hybridMultilevel"/>
    <w:tmpl w:val="0F0C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BD4846"/>
    <w:multiLevelType w:val="hybridMultilevel"/>
    <w:tmpl w:val="ACB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13344"/>
    <w:multiLevelType w:val="multilevel"/>
    <w:tmpl w:val="E9F284C0"/>
    <w:lvl w:ilvl="0">
      <w:start w:val="1"/>
      <w:numFmt w:val="decimal"/>
      <w:lvlText w:val="Section %1"/>
      <w:lvlJc w:val="left"/>
      <w:pPr>
        <w:tabs>
          <w:tab w:val="num" w:pos="1800"/>
        </w:tabs>
        <w:ind w:left="432" w:hanging="432"/>
      </w:pPr>
      <w:rPr>
        <w:rFonts w:ascii="Arial" w:hAnsi="Arial" w:cs="Times New Roman" w:hint="default"/>
      </w:rPr>
    </w:lvl>
    <w:lvl w:ilvl="1">
      <w:start w:val="1"/>
      <w:numFmt w:val="decimal"/>
      <w:pStyle w:val="NB-Bulleted-11Questions"/>
      <w:lvlText w:val="%1.%2"/>
      <w:lvlJc w:val="left"/>
      <w:pPr>
        <w:tabs>
          <w:tab w:val="num" w:pos="680"/>
        </w:tabs>
        <w:ind w:left="680" w:hanging="680"/>
      </w:pPr>
      <w:rPr>
        <w:rFonts w:cs="Times New Roman"/>
      </w:rPr>
    </w:lvl>
    <w:lvl w:ilvl="2">
      <w:start w:val="1"/>
      <w:numFmt w:val="decimal"/>
      <w:pStyle w:val="Ttulo3"/>
      <w:lvlText w:val="%1.%2.%3"/>
      <w:lvlJc w:val="left"/>
      <w:pPr>
        <w:tabs>
          <w:tab w:val="num" w:pos="1080"/>
        </w:tabs>
        <w:ind w:left="680" w:hanging="680"/>
      </w:pPr>
      <w:rPr>
        <w:rFonts w:cs="Times New Roman"/>
      </w:rPr>
    </w:lvl>
    <w:lvl w:ilvl="3">
      <w:start w:val="1"/>
      <w:numFmt w:val="lowerRoman"/>
      <w:lvlText w:val="%4)"/>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sz w:val="22"/>
        <w:vertAlign w:val="baseline"/>
      </w:rPr>
    </w:lvl>
    <w:lvl w:ilvl="4">
      <w:start w:val="1"/>
      <w:numFmt w:val="none"/>
      <w:isLgl/>
      <w:suff w:val="nothing"/>
      <w:lvlText w:val=""/>
      <w:lvlJc w:val="left"/>
      <w:pPr>
        <w:ind w:left="567" w:hanging="567"/>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none"/>
      <w:lvlText w:val=""/>
      <w:lvlJc w:val="left"/>
      <w:pPr>
        <w:tabs>
          <w:tab w:val="num" w:pos="2835"/>
        </w:tabs>
        <w:ind w:left="2835" w:hanging="2835"/>
      </w:pPr>
      <w:rPr>
        <w:rFonts w:cs="Times New Roman"/>
      </w:rPr>
    </w:lvl>
  </w:abstractNum>
  <w:abstractNum w:abstractNumId="10">
    <w:nsid w:val="297C26D5"/>
    <w:multiLevelType w:val="singleLevel"/>
    <w:tmpl w:val="8CEE16FC"/>
    <w:lvl w:ilvl="0">
      <w:start w:val="1"/>
      <w:numFmt w:val="decimal"/>
      <w:pStyle w:val="NB-Numberedlistbold"/>
      <w:lvlText w:val="%1."/>
      <w:lvlJc w:val="left"/>
      <w:pPr>
        <w:tabs>
          <w:tab w:val="num" w:pos="680"/>
        </w:tabs>
        <w:ind w:left="680" w:hanging="680"/>
      </w:pPr>
      <w:rPr>
        <w:rFonts w:ascii="Arial" w:hAnsi="Arial" w:cs="Times New Roman" w:hint="default"/>
        <w:b/>
        <w:i w:val="0"/>
        <w:sz w:val="22"/>
      </w:rPr>
    </w:lvl>
  </w:abstractNum>
  <w:abstractNum w:abstractNumId="11">
    <w:nsid w:val="3653513B"/>
    <w:multiLevelType w:val="hybridMultilevel"/>
    <w:tmpl w:val="2FCE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668D4"/>
    <w:multiLevelType w:val="singleLevel"/>
    <w:tmpl w:val="AB707306"/>
    <w:lvl w:ilvl="0">
      <w:start w:val="1"/>
      <w:numFmt w:val="lowerLetter"/>
      <w:pStyle w:val="Ttulo4"/>
      <w:lvlText w:val="%1)"/>
      <w:lvlJc w:val="left"/>
      <w:pPr>
        <w:tabs>
          <w:tab w:val="num" w:pos="680"/>
        </w:tabs>
        <w:ind w:left="680" w:hanging="680"/>
      </w:pPr>
      <w:rPr>
        <w:rFonts w:ascii="Arial" w:hAnsi="Arial" w:cs="Times New Roman" w:hint="default"/>
        <w:b/>
        <w:i w:val="0"/>
        <w:sz w:val="22"/>
      </w:rPr>
    </w:lvl>
  </w:abstractNum>
  <w:abstractNum w:abstractNumId="13">
    <w:nsid w:val="3ED64CCA"/>
    <w:multiLevelType w:val="hybridMultilevel"/>
    <w:tmpl w:val="F9780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4962F8"/>
    <w:multiLevelType w:val="hybridMultilevel"/>
    <w:tmpl w:val="540CDFFE"/>
    <w:lvl w:ilvl="0" w:tplc="D55CAED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B2480C"/>
    <w:multiLevelType w:val="singleLevel"/>
    <w:tmpl w:val="7DFEF22C"/>
    <w:lvl w:ilvl="0">
      <w:start w:val="1"/>
      <w:numFmt w:val="bullet"/>
      <w:pStyle w:val="NB-BulletedtextNormal"/>
      <w:lvlText w:val=""/>
      <w:lvlJc w:val="left"/>
      <w:pPr>
        <w:tabs>
          <w:tab w:val="num" w:pos="680"/>
        </w:tabs>
        <w:ind w:left="680" w:hanging="680"/>
      </w:pPr>
      <w:rPr>
        <w:rFonts w:ascii="Symbol" w:hAnsi="Symbol" w:hint="default"/>
      </w:rPr>
    </w:lvl>
  </w:abstractNum>
  <w:abstractNum w:abstractNumId="16">
    <w:nsid w:val="43CF1578"/>
    <w:multiLevelType w:val="hybridMultilevel"/>
    <w:tmpl w:val="9B1AC6CA"/>
    <w:lvl w:ilvl="0" w:tplc="08090001">
      <w:start w:val="1"/>
      <w:numFmt w:val="bullet"/>
      <w:lvlText w:val=""/>
      <w:lvlJc w:val="left"/>
      <w:pPr>
        <w:tabs>
          <w:tab w:val="num" w:pos="360"/>
        </w:tabs>
        <w:ind w:left="360" w:hanging="360"/>
      </w:pPr>
      <w:rPr>
        <w:rFonts w:ascii="Symbol" w:hAnsi="Symbol" w:hint="default"/>
      </w:rPr>
    </w:lvl>
    <w:lvl w:ilvl="1" w:tplc="FE3CDAE4" w:tentative="1">
      <w:start w:val="1"/>
      <w:numFmt w:val="bullet"/>
      <w:lvlText w:val=""/>
      <w:lvlJc w:val="left"/>
      <w:pPr>
        <w:tabs>
          <w:tab w:val="num" w:pos="1080"/>
        </w:tabs>
        <w:ind w:left="1080" w:hanging="360"/>
      </w:pPr>
      <w:rPr>
        <w:rFonts w:ascii="Wingdings" w:hAnsi="Wingdings" w:hint="default"/>
      </w:rPr>
    </w:lvl>
    <w:lvl w:ilvl="2" w:tplc="D5C0AE96" w:tentative="1">
      <w:start w:val="1"/>
      <w:numFmt w:val="bullet"/>
      <w:lvlText w:val=""/>
      <w:lvlJc w:val="left"/>
      <w:pPr>
        <w:tabs>
          <w:tab w:val="num" w:pos="1800"/>
        </w:tabs>
        <w:ind w:left="1800" w:hanging="360"/>
      </w:pPr>
      <w:rPr>
        <w:rFonts w:ascii="Wingdings" w:hAnsi="Wingdings" w:hint="default"/>
      </w:rPr>
    </w:lvl>
    <w:lvl w:ilvl="3" w:tplc="26C4A12C" w:tentative="1">
      <w:start w:val="1"/>
      <w:numFmt w:val="bullet"/>
      <w:lvlText w:val=""/>
      <w:lvlJc w:val="left"/>
      <w:pPr>
        <w:tabs>
          <w:tab w:val="num" w:pos="2520"/>
        </w:tabs>
        <w:ind w:left="2520" w:hanging="360"/>
      </w:pPr>
      <w:rPr>
        <w:rFonts w:ascii="Wingdings" w:hAnsi="Wingdings" w:hint="default"/>
      </w:rPr>
    </w:lvl>
    <w:lvl w:ilvl="4" w:tplc="B6241324" w:tentative="1">
      <w:start w:val="1"/>
      <w:numFmt w:val="bullet"/>
      <w:lvlText w:val=""/>
      <w:lvlJc w:val="left"/>
      <w:pPr>
        <w:tabs>
          <w:tab w:val="num" w:pos="3240"/>
        </w:tabs>
        <w:ind w:left="3240" w:hanging="360"/>
      </w:pPr>
      <w:rPr>
        <w:rFonts w:ascii="Wingdings" w:hAnsi="Wingdings" w:hint="default"/>
      </w:rPr>
    </w:lvl>
    <w:lvl w:ilvl="5" w:tplc="AA7A7998" w:tentative="1">
      <w:start w:val="1"/>
      <w:numFmt w:val="bullet"/>
      <w:lvlText w:val=""/>
      <w:lvlJc w:val="left"/>
      <w:pPr>
        <w:tabs>
          <w:tab w:val="num" w:pos="3960"/>
        </w:tabs>
        <w:ind w:left="3960" w:hanging="360"/>
      </w:pPr>
      <w:rPr>
        <w:rFonts w:ascii="Wingdings" w:hAnsi="Wingdings" w:hint="default"/>
      </w:rPr>
    </w:lvl>
    <w:lvl w:ilvl="6" w:tplc="23A49748" w:tentative="1">
      <w:start w:val="1"/>
      <w:numFmt w:val="bullet"/>
      <w:lvlText w:val=""/>
      <w:lvlJc w:val="left"/>
      <w:pPr>
        <w:tabs>
          <w:tab w:val="num" w:pos="4680"/>
        </w:tabs>
        <w:ind w:left="4680" w:hanging="360"/>
      </w:pPr>
      <w:rPr>
        <w:rFonts w:ascii="Wingdings" w:hAnsi="Wingdings" w:hint="default"/>
      </w:rPr>
    </w:lvl>
    <w:lvl w:ilvl="7" w:tplc="0CD0E948" w:tentative="1">
      <w:start w:val="1"/>
      <w:numFmt w:val="bullet"/>
      <w:lvlText w:val=""/>
      <w:lvlJc w:val="left"/>
      <w:pPr>
        <w:tabs>
          <w:tab w:val="num" w:pos="5400"/>
        </w:tabs>
        <w:ind w:left="5400" w:hanging="360"/>
      </w:pPr>
      <w:rPr>
        <w:rFonts w:ascii="Wingdings" w:hAnsi="Wingdings" w:hint="default"/>
      </w:rPr>
    </w:lvl>
    <w:lvl w:ilvl="8" w:tplc="FCF61514" w:tentative="1">
      <w:start w:val="1"/>
      <w:numFmt w:val="bullet"/>
      <w:lvlText w:val=""/>
      <w:lvlJc w:val="left"/>
      <w:pPr>
        <w:tabs>
          <w:tab w:val="num" w:pos="6120"/>
        </w:tabs>
        <w:ind w:left="6120" w:hanging="360"/>
      </w:pPr>
      <w:rPr>
        <w:rFonts w:ascii="Wingdings" w:hAnsi="Wingdings" w:hint="default"/>
      </w:rPr>
    </w:lvl>
  </w:abstractNum>
  <w:abstractNum w:abstractNumId="17">
    <w:nsid w:val="4852272B"/>
    <w:multiLevelType w:val="hybridMultilevel"/>
    <w:tmpl w:val="99A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4470B5"/>
    <w:multiLevelType w:val="singleLevel"/>
    <w:tmpl w:val="AB3810FC"/>
    <w:lvl w:ilvl="0">
      <w:start w:val="1"/>
      <w:numFmt w:val="decimal"/>
      <w:pStyle w:val="NB-NumberedlistPlainText"/>
      <w:lvlText w:val="%1."/>
      <w:lvlJc w:val="left"/>
      <w:pPr>
        <w:tabs>
          <w:tab w:val="num" w:pos="680"/>
        </w:tabs>
        <w:ind w:left="680" w:hanging="680"/>
      </w:pPr>
      <w:rPr>
        <w:rFonts w:cs="Times New Roman"/>
      </w:rPr>
    </w:lvl>
  </w:abstractNum>
  <w:abstractNum w:abstractNumId="19">
    <w:nsid w:val="5BD5517C"/>
    <w:multiLevelType w:val="hybridMultilevel"/>
    <w:tmpl w:val="84A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872CF"/>
    <w:multiLevelType w:val="hybridMultilevel"/>
    <w:tmpl w:val="C5640F34"/>
    <w:lvl w:ilvl="0" w:tplc="B824AEB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F76B3E"/>
    <w:multiLevelType w:val="hybridMultilevel"/>
    <w:tmpl w:val="D2B85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A926FF"/>
    <w:multiLevelType w:val="hybridMultilevel"/>
    <w:tmpl w:val="9FD8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DA63C9"/>
    <w:multiLevelType w:val="hybridMultilevel"/>
    <w:tmpl w:val="AFCCB5FA"/>
    <w:lvl w:ilvl="0" w:tplc="BF84BFB0">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2D3252"/>
    <w:multiLevelType w:val="hybridMultilevel"/>
    <w:tmpl w:val="8062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E41F1F"/>
    <w:multiLevelType w:val="hybridMultilevel"/>
    <w:tmpl w:val="0BCAC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0"/>
  </w:num>
  <w:num w:numId="4">
    <w:abstractNumId w:val="9"/>
  </w:num>
  <w:num w:numId="5">
    <w:abstractNumId w:val="0"/>
  </w:num>
  <w:num w:numId="6">
    <w:abstractNumId w:val="12"/>
  </w:num>
  <w:num w:numId="7">
    <w:abstractNumId w:val="25"/>
  </w:num>
  <w:num w:numId="8">
    <w:abstractNumId w:val="3"/>
  </w:num>
  <w:num w:numId="9">
    <w:abstractNumId w:val="20"/>
  </w:num>
  <w:num w:numId="10">
    <w:abstractNumId w:val="13"/>
  </w:num>
  <w:num w:numId="11">
    <w:abstractNumId w:val="16"/>
  </w:num>
  <w:num w:numId="12">
    <w:abstractNumId w:val="4"/>
  </w:num>
  <w:num w:numId="13">
    <w:abstractNumId w:val="19"/>
  </w:num>
  <w:num w:numId="14">
    <w:abstractNumId w:val="21"/>
  </w:num>
  <w:num w:numId="15">
    <w:abstractNumId w:val="11"/>
  </w:num>
  <w:num w:numId="16">
    <w:abstractNumId w:val="1"/>
  </w:num>
  <w:num w:numId="17">
    <w:abstractNumId w:val="2"/>
  </w:num>
  <w:num w:numId="18">
    <w:abstractNumId w:val="24"/>
  </w:num>
  <w:num w:numId="19">
    <w:abstractNumId w:val="6"/>
    <w:lvlOverride w:ilvl="0"/>
    <w:lvlOverride w:ilvl="1"/>
    <w:lvlOverride w:ilvl="2"/>
    <w:lvlOverride w:ilvl="3"/>
    <w:lvlOverride w:ilvl="4"/>
    <w:lvlOverride w:ilvl="5"/>
    <w:lvlOverride w:ilvl="6"/>
    <w:lvlOverride w:ilvl="7"/>
    <w:lvlOverride w:ilvl="8"/>
  </w:num>
  <w:num w:numId="20">
    <w:abstractNumId w:val="8"/>
  </w:num>
  <w:num w:numId="21">
    <w:abstractNumId w:val="7"/>
  </w:num>
  <w:num w:numId="22">
    <w:abstractNumId w:val="5"/>
  </w:num>
  <w:num w:numId="23">
    <w:abstractNumId w:val="14"/>
  </w:num>
  <w:num w:numId="24">
    <w:abstractNumId w:val="23"/>
  </w:num>
  <w:num w:numId="25">
    <w:abstractNumId w:val="17"/>
  </w:num>
  <w:num w:numId="26">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96B19"/>
    <w:rsid w:val="00000C17"/>
    <w:rsid w:val="00000E00"/>
    <w:rsid w:val="00001243"/>
    <w:rsid w:val="00001263"/>
    <w:rsid w:val="00001895"/>
    <w:rsid w:val="00002C6F"/>
    <w:rsid w:val="00004065"/>
    <w:rsid w:val="00004219"/>
    <w:rsid w:val="000058A9"/>
    <w:rsid w:val="000059E4"/>
    <w:rsid w:val="00005AA7"/>
    <w:rsid w:val="00006A02"/>
    <w:rsid w:val="00006CC8"/>
    <w:rsid w:val="00006D73"/>
    <w:rsid w:val="00007440"/>
    <w:rsid w:val="00007529"/>
    <w:rsid w:val="00007F50"/>
    <w:rsid w:val="0001045E"/>
    <w:rsid w:val="00010F34"/>
    <w:rsid w:val="00012112"/>
    <w:rsid w:val="00012D83"/>
    <w:rsid w:val="00013411"/>
    <w:rsid w:val="00013CC9"/>
    <w:rsid w:val="00013F0B"/>
    <w:rsid w:val="00014898"/>
    <w:rsid w:val="0001504E"/>
    <w:rsid w:val="0001543F"/>
    <w:rsid w:val="00016D83"/>
    <w:rsid w:val="0002004E"/>
    <w:rsid w:val="00020540"/>
    <w:rsid w:val="00020FEE"/>
    <w:rsid w:val="00021597"/>
    <w:rsid w:val="00021C5C"/>
    <w:rsid w:val="000228B0"/>
    <w:rsid w:val="00025014"/>
    <w:rsid w:val="000250D1"/>
    <w:rsid w:val="000252A0"/>
    <w:rsid w:val="000255C5"/>
    <w:rsid w:val="00025A35"/>
    <w:rsid w:val="00026445"/>
    <w:rsid w:val="00027133"/>
    <w:rsid w:val="00027530"/>
    <w:rsid w:val="00027C05"/>
    <w:rsid w:val="00033695"/>
    <w:rsid w:val="00033C99"/>
    <w:rsid w:val="00034272"/>
    <w:rsid w:val="0003442C"/>
    <w:rsid w:val="000354D2"/>
    <w:rsid w:val="000359A1"/>
    <w:rsid w:val="0003635E"/>
    <w:rsid w:val="0003769D"/>
    <w:rsid w:val="00041542"/>
    <w:rsid w:val="000415D2"/>
    <w:rsid w:val="0004161D"/>
    <w:rsid w:val="000418E8"/>
    <w:rsid w:val="00041C10"/>
    <w:rsid w:val="00041FEB"/>
    <w:rsid w:val="00044BE1"/>
    <w:rsid w:val="0004572B"/>
    <w:rsid w:val="00046379"/>
    <w:rsid w:val="000476CA"/>
    <w:rsid w:val="00047DCA"/>
    <w:rsid w:val="00052346"/>
    <w:rsid w:val="00053250"/>
    <w:rsid w:val="00054021"/>
    <w:rsid w:val="00054C0D"/>
    <w:rsid w:val="000557CB"/>
    <w:rsid w:val="00055BDC"/>
    <w:rsid w:val="00055CA3"/>
    <w:rsid w:val="00055E36"/>
    <w:rsid w:val="000565D1"/>
    <w:rsid w:val="00057B24"/>
    <w:rsid w:val="00060293"/>
    <w:rsid w:val="00061B3D"/>
    <w:rsid w:val="000631C7"/>
    <w:rsid w:val="00064902"/>
    <w:rsid w:val="00064D58"/>
    <w:rsid w:val="0006516F"/>
    <w:rsid w:val="000678E5"/>
    <w:rsid w:val="00067CD3"/>
    <w:rsid w:val="00070715"/>
    <w:rsid w:val="00070B45"/>
    <w:rsid w:val="00070C70"/>
    <w:rsid w:val="000717E6"/>
    <w:rsid w:val="00071A06"/>
    <w:rsid w:val="000722A6"/>
    <w:rsid w:val="00074544"/>
    <w:rsid w:val="00074FDD"/>
    <w:rsid w:val="000750FE"/>
    <w:rsid w:val="0007552E"/>
    <w:rsid w:val="00076364"/>
    <w:rsid w:val="000778B0"/>
    <w:rsid w:val="00077E2E"/>
    <w:rsid w:val="00080862"/>
    <w:rsid w:val="00082786"/>
    <w:rsid w:val="00082EF2"/>
    <w:rsid w:val="00084929"/>
    <w:rsid w:val="00084AB0"/>
    <w:rsid w:val="00084CF6"/>
    <w:rsid w:val="00087D70"/>
    <w:rsid w:val="00090331"/>
    <w:rsid w:val="00090DC6"/>
    <w:rsid w:val="00091828"/>
    <w:rsid w:val="00091AB6"/>
    <w:rsid w:val="0009207F"/>
    <w:rsid w:val="00092980"/>
    <w:rsid w:val="00093A53"/>
    <w:rsid w:val="00093BC1"/>
    <w:rsid w:val="00093CFE"/>
    <w:rsid w:val="00093FCD"/>
    <w:rsid w:val="00094027"/>
    <w:rsid w:val="00094F0E"/>
    <w:rsid w:val="0009542C"/>
    <w:rsid w:val="000955C9"/>
    <w:rsid w:val="00095A0F"/>
    <w:rsid w:val="00096AA6"/>
    <w:rsid w:val="00096D43"/>
    <w:rsid w:val="0009739C"/>
    <w:rsid w:val="000A07C3"/>
    <w:rsid w:val="000A1A18"/>
    <w:rsid w:val="000A2AD6"/>
    <w:rsid w:val="000A3506"/>
    <w:rsid w:val="000A362F"/>
    <w:rsid w:val="000A3AA7"/>
    <w:rsid w:val="000A3E94"/>
    <w:rsid w:val="000A412E"/>
    <w:rsid w:val="000A4207"/>
    <w:rsid w:val="000A47FA"/>
    <w:rsid w:val="000A4E05"/>
    <w:rsid w:val="000A6100"/>
    <w:rsid w:val="000A6D84"/>
    <w:rsid w:val="000A6E23"/>
    <w:rsid w:val="000A7562"/>
    <w:rsid w:val="000A7D72"/>
    <w:rsid w:val="000B0533"/>
    <w:rsid w:val="000B16BF"/>
    <w:rsid w:val="000B2AC4"/>
    <w:rsid w:val="000B2CF3"/>
    <w:rsid w:val="000B3AA2"/>
    <w:rsid w:val="000B3ECA"/>
    <w:rsid w:val="000B43F1"/>
    <w:rsid w:val="000B51A5"/>
    <w:rsid w:val="000B563D"/>
    <w:rsid w:val="000B5715"/>
    <w:rsid w:val="000B5E3F"/>
    <w:rsid w:val="000B6536"/>
    <w:rsid w:val="000C0347"/>
    <w:rsid w:val="000C058D"/>
    <w:rsid w:val="000C0722"/>
    <w:rsid w:val="000C0CE7"/>
    <w:rsid w:val="000C14D1"/>
    <w:rsid w:val="000C1935"/>
    <w:rsid w:val="000C1C59"/>
    <w:rsid w:val="000C1D19"/>
    <w:rsid w:val="000C1EFE"/>
    <w:rsid w:val="000C2208"/>
    <w:rsid w:val="000C2A2C"/>
    <w:rsid w:val="000C2E9A"/>
    <w:rsid w:val="000C2F8C"/>
    <w:rsid w:val="000C4B3C"/>
    <w:rsid w:val="000C67BF"/>
    <w:rsid w:val="000C75C9"/>
    <w:rsid w:val="000D030F"/>
    <w:rsid w:val="000D08D7"/>
    <w:rsid w:val="000D0A96"/>
    <w:rsid w:val="000D226B"/>
    <w:rsid w:val="000D3189"/>
    <w:rsid w:val="000D3B09"/>
    <w:rsid w:val="000D41E6"/>
    <w:rsid w:val="000D444D"/>
    <w:rsid w:val="000D568B"/>
    <w:rsid w:val="000D571C"/>
    <w:rsid w:val="000D6E5A"/>
    <w:rsid w:val="000D6EE9"/>
    <w:rsid w:val="000E0A0B"/>
    <w:rsid w:val="000E104D"/>
    <w:rsid w:val="000E1DE3"/>
    <w:rsid w:val="000E268D"/>
    <w:rsid w:val="000E2779"/>
    <w:rsid w:val="000E2D10"/>
    <w:rsid w:val="000E53FA"/>
    <w:rsid w:val="000E56D8"/>
    <w:rsid w:val="000E7345"/>
    <w:rsid w:val="000E7642"/>
    <w:rsid w:val="000E7C99"/>
    <w:rsid w:val="000F0347"/>
    <w:rsid w:val="000F0602"/>
    <w:rsid w:val="000F0D3D"/>
    <w:rsid w:val="000F2EBD"/>
    <w:rsid w:val="000F48C6"/>
    <w:rsid w:val="000F4B6E"/>
    <w:rsid w:val="000F6F8D"/>
    <w:rsid w:val="000F7D25"/>
    <w:rsid w:val="00100592"/>
    <w:rsid w:val="00100F48"/>
    <w:rsid w:val="00100FD2"/>
    <w:rsid w:val="001054CF"/>
    <w:rsid w:val="00105552"/>
    <w:rsid w:val="00105C0E"/>
    <w:rsid w:val="00107A95"/>
    <w:rsid w:val="00110084"/>
    <w:rsid w:val="00110C3E"/>
    <w:rsid w:val="00111FAF"/>
    <w:rsid w:val="001128BA"/>
    <w:rsid w:val="001128F3"/>
    <w:rsid w:val="00112E93"/>
    <w:rsid w:val="001154C8"/>
    <w:rsid w:val="001157F9"/>
    <w:rsid w:val="001165D8"/>
    <w:rsid w:val="00117AE4"/>
    <w:rsid w:val="0012241F"/>
    <w:rsid w:val="001231A1"/>
    <w:rsid w:val="0012481D"/>
    <w:rsid w:val="00124D95"/>
    <w:rsid w:val="001257D6"/>
    <w:rsid w:val="00125B03"/>
    <w:rsid w:val="00126D75"/>
    <w:rsid w:val="00126DA1"/>
    <w:rsid w:val="00127252"/>
    <w:rsid w:val="00127260"/>
    <w:rsid w:val="001272FD"/>
    <w:rsid w:val="00131918"/>
    <w:rsid w:val="00131986"/>
    <w:rsid w:val="00131C87"/>
    <w:rsid w:val="0013242E"/>
    <w:rsid w:val="001329A6"/>
    <w:rsid w:val="00133FFE"/>
    <w:rsid w:val="00134A47"/>
    <w:rsid w:val="0013515A"/>
    <w:rsid w:val="00135DD0"/>
    <w:rsid w:val="001361A1"/>
    <w:rsid w:val="00137F13"/>
    <w:rsid w:val="0014006A"/>
    <w:rsid w:val="001406C0"/>
    <w:rsid w:val="00140830"/>
    <w:rsid w:val="00140B61"/>
    <w:rsid w:val="001423C4"/>
    <w:rsid w:val="00142C5C"/>
    <w:rsid w:val="001433BF"/>
    <w:rsid w:val="001451F0"/>
    <w:rsid w:val="00145493"/>
    <w:rsid w:val="00146489"/>
    <w:rsid w:val="00147270"/>
    <w:rsid w:val="00155BF3"/>
    <w:rsid w:val="00160D17"/>
    <w:rsid w:val="00160DCD"/>
    <w:rsid w:val="00161924"/>
    <w:rsid w:val="00162E73"/>
    <w:rsid w:val="00163558"/>
    <w:rsid w:val="001664D9"/>
    <w:rsid w:val="00166B48"/>
    <w:rsid w:val="00170719"/>
    <w:rsid w:val="00170A90"/>
    <w:rsid w:val="0017262E"/>
    <w:rsid w:val="00172D7B"/>
    <w:rsid w:val="00172EB4"/>
    <w:rsid w:val="00173DBB"/>
    <w:rsid w:val="0017422C"/>
    <w:rsid w:val="00174FB3"/>
    <w:rsid w:val="00175325"/>
    <w:rsid w:val="00175949"/>
    <w:rsid w:val="00175ED8"/>
    <w:rsid w:val="00176068"/>
    <w:rsid w:val="00176500"/>
    <w:rsid w:val="001771C9"/>
    <w:rsid w:val="0017767E"/>
    <w:rsid w:val="00180597"/>
    <w:rsid w:val="0018063A"/>
    <w:rsid w:val="001814CE"/>
    <w:rsid w:val="00181F2B"/>
    <w:rsid w:val="00181F4F"/>
    <w:rsid w:val="001835BF"/>
    <w:rsid w:val="00183F2B"/>
    <w:rsid w:val="001847B9"/>
    <w:rsid w:val="0018685B"/>
    <w:rsid w:val="001906A3"/>
    <w:rsid w:val="00191269"/>
    <w:rsid w:val="001914B2"/>
    <w:rsid w:val="001924AF"/>
    <w:rsid w:val="00192C5F"/>
    <w:rsid w:val="0019419D"/>
    <w:rsid w:val="00194415"/>
    <w:rsid w:val="0019564D"/>
    <w:rsid w:val="001965AF"/>
    <w:rsid w:val="0019719F"/>
    <w:rsid w:val="001A075F"/>
    <w:rsid w:val="001A17FA"/>
    <w:rsid w:val="001A2C2A"/>
    <w:rsid w:val="001A4FE7"/>
    <w:rsid w:val="001A6B00"/>
    <w:rsid w:val="001A6D0A"/>
    <w:rsid w:val="001A6E54"/>
    <w:rsid w:val="001A7A9C"/>
    <w:rsid w:val="001B297B"/>
    <w:rsid w:val="001B2B1D"/>
    <w:rsid w:val="001B2E8F"/>
    <w:rsid w:val="001B3F1A"/>
    <w:rsid w:val="001B6758"/>
    <w:rsid w:val="001B6CC2"/>
    <w:rsid w:val="001B76B3"/>
    <w:rsid w:val="001C0AB3"/>
    <w:rsid w:val="001C1DA7"/>
    <w:rsid w:val="001C1FC2"/>
    <w:rsid w:val="001C53C9"/>
    <w:rsid w:val="001C6143"/>
    <w:rsid w:val="001C6312"/>
    <w:rsid w:val="001C69BF"/>
    <w:rsid w:val="001C6C05"/>
    <w:rsid w:val="001C6DBE"/>
    <w:rsid w:val="001D01AF"/>
    <w:rsid w:val="001D1A16"/>
    <w:rsid w:val="001D3E25"/>
    <w:rsid w:val="001D44E3"/>
    <w:rsid w:val="001D51AE"/>
    <w:rsid w:val="001D588D"/>
    <w:rsid w:val="001D5EC3"/>
    <w:rsid w:val="001D62A2"/>
    <w:rsid w:val="001D6B98"/>
    <w:rsid w:val="001D7661"/>
    <w:rsid w:val="001E0085"/>
    <w:rsid w:val="001E024B"/>
    <w:rsid w:val="001E0776"/>
    <w:rsid w:val="001E1BD8"/>
    <w:rsid w:val="001E20AD"/>
    <w:rsid w:val="001E2B6E"/>
    <w:rsid w:val="001E391F"/>
    <w:rsid w:val="001E43B6"/>
    <w:rsid w:val="001E57C9"/>
    <w:rsid w:val="001E600B"/>
    <w:rsid w:val="001E661E"/>
    <w:rsid w:val="001E74F0"/>
    <w:rsid w:val="001E7ED3"/>
    <w:rsid w:val="001F0BF8"/>
    <w:rsid w:val="001F1371"/>
    <w:rsid w:val="001F196B"/>
    <w:rsid w:val="001F1C09"/>
    <w:rsid w:val="001F21D0"/>
    <w:rsid w:val="001F23E9"/>
    <w:rsid w:val="001F348E"/>
    <w:rsid w:val="001F42CA"/>
    <w:rsid w:val="001F4FB8"/>
    <w:rsid w:val="001F508C"/>
    <w:rsid w:val="001F5E31"/>
    <w:rsid w:val="001F5F35"/>
    <w:rsid w:val="001F63EA"/>
    <w:rsid w:val="001F691D"/>
    <w:rsid w:val="001F6A50"/>
    <w:rsid w:val="001F7610"/>
    <w:rsid w:val="0020202B"/>
    <w:rsid w:val="0020219F"/>
    <w:rsid w:val="0020268C"/>
    <w:rsid w:val="00203139"/>
    <w:rsid w:val="00203A1E"/>
    <w:rsid w:val="0020461F"/>
    <w:rsid w:val="00205A91"/>
    <w:rsid w:val="00205BFD"/>
    <w:rsid w:val="0020601D"/>
    <w:rsid w:val="00206031"/>
    <w:rsid w:val="002069DF"/>
    <w:rsid w:val="002076F5"/>
    <w:rsid w:val="002104C1"/>
    <w:rsid w:val="00210642"/>
    <w:rsid w:val="00211F0F"/>
    <w:rsid w:val="00212ABB"/>
    <w:rsid w:val="002137F1"/>
    <w:rsid w:val="002142E9"/>
    <w:rsid w:val="00216A8A"/>
    <w:rsid w:val="00220A49"/>
    <w:rsid w:val="00221BE4"/>
    <w:rsid w:val="002221D9"/>
    <w:rsid w:val="002225E3"/>
    <w:rsid w:val="00223D50"/>
    <w:rsid w:val="00224106"/>
    <w:rsid w:val="00226658"/>
    <w:rsid w:val="00226B90"/>
    <w:rsid w:val="00231811"/>
    <w:rsid w:val="002318F1"/>
    <w:rsid w:val="00232209"/>
    <w:rsid w:val="002339BD"/>
    <w:rsid w:val="00234C4B"/>
    <w:rsid w:val="00235BA3"/>
    <w:rsid w:val="00236790"/>
    <w:rsid w:val="00236888"/>
    <w:rsid w:val="002402B3"/>
    <w:rsid w:val="0024137B"/>
    <w:rsid w:val="00242BB7"/>
    <w:rsid w:val="00242ED9"/>
    <w:rsid w:val="0024312E"/>
    <w:rsid w:val="00243A8B"/>
    <w:rsid w:val="0024445A"/>
    <w:rsid w:val="0024565A"/>
    <w:rsid w:val="00245664"/>
    <w:rsid w:val="00245D80"/>
    <w:rsid w:val="00247802"/>
    <w:rsid w:val="00251AB2"/>
    <w:rsid w:val="00251D7A"/>
    <w:rsid w:val="00254B05"/>
    <w:rsid w:val="0025519B"/>
    <w:rsid w:val="00255E07"/>
    <w:rsid w:val="00256503"/>
    <w:rsid w:val="0025668B"/>
    <w:rsid w:val="0025674F"/>
    <w:rsid w:val="00256C7E"/>
    <w:rsid w:val="002602CE"/>
    <w:rsid w:val="00261A9B"/>
    <w:rsid w:val="0026299C"/>
    <w:rsid w:val="00262BE2"/>
    <w:rsid w:val="00266B23"/>
    <w:rsid w:val="00267DC1"/>
    <w:rsid w:val="00271A85"/>
    <w:rsid w:val="00271F86"/>
    <w:rsid w:val="00272F03"/>
    <w:rsid w:val="00274321"/>
    <w:rsid w:val="0027505A"/>
    <w:rsid w:val="00275525"/>
    <w:rsid w:val="00277137"/>
    <w:rsid w:val="002773DB"/>
    <w:rsid w:val="00277517"/>
    <w:rsid w:val="00277CBC"/>
    <w:rsid w:val="00277D34"/>
    <w:rsid w:val="0028017B"/>
    <w:rsid w:val="0028024D"/>
    <w:rsid w:val="00280C29"/>
    <w:rsid w:val="00280EC5"/>
    <w:rsid w:val="002811A0"/>
    <w:rsid w:val="0028162C"/>
    <w:rsid w:val="00281645"/>
    <w:rsid w:val="00285384"/>
    <w:rsid w:val="002855D6"/>
    <w:rsid w:val="00285BFD"/>
    <w:rsid w:val="0028622F"/>
    <w:rsid w:val="00286968"/>
    <w:rsid w:val="002878C0"/>
    <w:rsid w:val="00287B75"/>
    <w:rsid w:val="002902D0"/>
    <w:rsid w:val="00290585"/>
    <w:rsid w:val="002915BF"/>
    <w:rsid w:val="0029181F"/>
    <w:rsid w:val="00291C05"/>
    <w:rsid w:val="00292444"/>
    <w:rsid w:val="002925B3"/>
    <w:rsid w:val="00292F9B"/>
    <w:rsid w:val="00293695"/>
    <w:rsid w:val="002949E9"/>
    <w:rsid w:val="00294DF9"/>
    <w:rsid w:val="00295902"/>
    <w:rsid w:val="00295941"/>
    <w:rsid w:val="00295A04"/>
    <w:rsid w:val="002961D3"/>
    <w:rsid w:val="00296BAE"/>
    <w:rsid w:val="002976AF"/>
    <w:rsid w:val="00297BD1"/>
    <w:rsid w:val="002A1156"/>
    <w:rsid w:val="002A2E72"/>
    <w:rsid w:val="002A4D3A"/>
    <w:rsid w:val="002A5B40"/>
    <w:rsid w:val="002A6E17"/>
    <w:rsid w:val="002A7661"/>
    <w:rsid w:val="002B0633"/>
    <w:rsid w:val="002B1C5F"/>
    <w:rsid w:val="002B274C"/>
    <w:rsid w:val="002B39C9"/>
    <w:rsid w:val="002B4810"/>
    <w:rsid w:val="002B50C3"/>
    <w:rsid w:val="002B5AC6"/>
    <w:rsid w:val="002B5FF8"/>
    <w:rsid w:val="002B6909"/>
    <w:rsid w:val="002B7984"/>
    <w:rsid w:val="002C17D2"/>
    <w:rsid w:val="002C31F7"/>
    <w:rsid w:val="002C4327"/>
    <w:rsid w:val="002C4371"/>
    <w:rsid w:val="002C4474"/>
    <w:rsid w:val="002C51D1"/>
    <w:rsid w:val="002C6050"/>
    <w:rsid w:val="002C737F"/>
    <w:rsid w:val="002C7753"/>
    <w:rsid w:val="002D035D"/>
    <w:rsid w:val="002D0E5A"/>
    <w:rsid w:val="002D16DC"/>
    <w:rsid w:val="002D1B8C"/>
    <w:rsid w:val="002D35B9"/>
    <w:rsid w:val="002D4C1C"/>
    <w:rsid w:val="002D5AEE"/>
    <w:rsid w:val="002D5CEC"/>
    <w:rsid w:val="002D5F54"/>
    <w:rsid w:val="002D684D"/>
    <w:rsid w:val="002D6A8F"/>
    <w:rsid w:val="002D7204"/>
    <w:rsid w:val="002D7FA6"/>
    <w:rsid w:val="002E0962"/>
    <w:rsid w:val="002E0983"/>
    <w:rsid w:val="002E0F51"/>
    <w:rsid w:val="002E1451"/>
    <w:rsid w:val="002E2367"/>
    <w:rsid w:val="002E3047"/>
    <w:rsid w:val="002E3C3D"/>
    <w:rsid w:val="002E493F"/>
    <w:rsid w:val="002E574D"/>
    <w:rsid w:val="002E6A6D"/>
    <w:rsid w:val="002F0579"/>
    <w:rsid w:val="002F12B4"/>
    <w:rsid w:val="002F1F68"/>
    <w:rsid w:val="002F202A"/>
    <w:rsid w:val="002F278A"/>
    <w:rsid w:val="002F2A6A"/>
    <w:rsid w:val="002F3071"/>
    <w:rsid w:val="002F3A8E"/>
    <w:rsid w:val="002F44BB"/>
    <w:rsid w:val="002F49C2"/>
    <w:rsid w:val="002F54FE"/>
    <w:rsid w:val="002F559A"/>
    <w:rsid w:val="002F6151"/>
    <w:rsid w:val="002F630D"/>
    <w:rsid w:val="002F7258"/>
    <w:rsid w:val="003004B9"/>
    <w:rsid w:val="00300598"/>
    <w:rsid w:val="0030074C"/>
    <w:rsid w:val="00301826"/>
    <w:rsid w:val="00301AAB"/>
    <w:rsid w:val="00302797"/>
    <w:rsid w:val="00302815"/>
    <w:rsid w:val="00303A25"/>
    <w:rsid w:val="00303A78"/>
    <w:rsid w:val="003043F4"/>
    <w:rsid w:val="00304AE0"/>
    <w:rsid w:val="0030548C"/>
    <w:rsid w:val="00305D49"/>
    <w:rsid w:val="00305E7B"/>
    <w:rsid w:val="00306590"/>
    <w:rsid w:val="00306999"/>
    <w:rsid w:val="0031008C"/>
    <w:rsid w:val="00310530"/>
    <w:rsid w:val="00310EE4"/>
    <w:rsid w:val="0031169A"/>
    <w:rsid w:val="00311BE8"/>
    <w:rsid w:val="00311D30"/>
    <w:rsid w:val="00312A0D"/>
    <w:rsid w:val="00314842"/>
    <w:rsid w:val="00317D6B"/>
    <w:rsid w:val="00321CAF"/>
    <w:rsid w:val="003233C6"/>
    <w:rsid w:val="00323E2B"/>
    <w:rsid w:val="00323E7E"/>
    <w:rsid w:val="003249B7"/>
    <w:rsid w:val="003267A5"/>
    <w:rsid w:val="00326F41"/>
    <w:rsid w:val="003276CC"/>
    <w:rsid w:val="00327FBA"/>
    <w:rsid w:val="003312B7"/>
    <w:rsid w:val="0033141A"/>
    <w:rsid w:val="003316E0"/>
    <w:rsid w:val="0033226D"/>
    <w:rsid w:val="003332EC"/>
    <w:rsid w:val="003339C5"/>
    <w:rsid w:val="00333E97"/>
    <w:rsid w:val="003348FF"/>
    <w:rsid w:val="00334A86"/>
    <w:rsid w:val="0033547A"/>
    <w:rsid w:val="00335B96"/>
    <w:rsid w:val="00335F56"/>
    <w:rsid w:val="003360E4"/>
    <w:rsid w:val="00336766"/>
    <w:rsid w:val="00336D8B"/>
    <w:rsid w:val="003373E9"/>
    <w:rsid w:val="00337540"/>
    <w:rsid w:val="003375B9"/>
    <w:rsid w:val="0033763A"/>
    <w:rsid w:val="00340792"/>
    <w:rsid w:val="00340C70"/>
    <w:rsid w:val="00340CD0"/>
    <w:rsid w:val="00341779"/>
    <w:rsid w:val="00341EC5"/>
    <w:rsid w:val="0034247D"/>
    <w:rsid w:val="0034378E"/>
    <w:rsid w:val="00344257"/>
    <w:rsid w:val="00344F52"/>
    <w:rsid w:val="00345025"/>
    <w:rsid w:val="003461A3"/>
    <w:rsid w:val="003469E4"/>
    <w:rsid w:val="00350246"/>
    <w:rsid w:val="003504D2"/>
    <w:rsid w:val="003507A3"/>
    <w:rsid w:val="00350A9A"/>
    <w:rsid w:val="00351311"/>
    <w:rsid w:val="00351FE0"/>
    <w:rsid w:val="003528A1"/>
    <w:rsid w:val="00352F8E"/>
    <w:rsid w:val="003533D1"/>
    <w:rsid w:val="00353755"/>
    <w:rsid w:val="00353A63"/>
    <w:rsid w:val="003550DC"/>
    <w:rsid w:val="003551ED"/>
    <w:rsid w:val="003556D9"/>
    <w:rsid w:val="003556F9"/>
    <w:rsid w:val="0035593F"/>
    <w:rsid w:val="0035712B"/>
    <w:rsid w:val="0035776F"/>
    <w:rsid w:val="00360686"/>
    <w:rsid w:val="003611E2"/>
    <w:rsid w:val="0036174C"/>
    <w:rsid w:val="00361AD3"/>
    <w:rsid w:val="00362390"/>
    <w:rsid w:val="00363A4A"/>
    <w:rsid w:val="003648F2"/>
    <w:rsid w:val="0036498F"/>
    <w:rsid w:val="0036699C"/>
    <w:rsid w:val="003670C1"/>
    <w:rsid w:val="0036796D"/>
    <w:rsid w:val="00367A42"/>
    <w:rsid w:val="00370FC0"/>
    <w:rsid w:val="00371101"/>
    <w:rsid w:val="003726E4"/>
    <w:rsid w:val="003728F0"/>
    <w:rsid w:val="00372941"/>
    <w:rsid w:val="003736BD"/>
    <w:rsid w:val="00373ECA"/>
    <w:rsid w:val="00374525"/>
    <w:rsid w:val="003747E2"/>
    <w:rsid w:val="00377137"/>
    <w:rsid w:val="0037717C"/>
    <w:rsid w:val="003802EC"/>
    <w:rsid w:val="00380325"/>
    <w:rsid w:val="00381A84"/>
    <w:rsid w:val="00383237"/>
    <w:rsid w:val="0038340D"/>
    <w:rsid w:val="003835E3"/>
    <w:rsid w:val="0038369A"/>
    <w:rsid w:val="003849C5"/>
    <w:rsid w:val="003852D9"/>
    <w:rsid w:val="003859A0"/>
    <w:rsid w:val="0038621B"/>
    <w:rsid w:val="003879C0"/>
    <w:rsid w:val="0039095A"/>
    <w:rsid w:val="00390C42"/>
    <w:rsid w:val="003922C9"/>
    <w:rsid w:val="00394A97"/>
    <w:rsid w:val="00394AFA"/>
    <w:rsid w:val="00394BC2"/>
    <w:rsid w:val="00395476"/>
    <w:rsid w:val="0039681C"/>
    <w:rsid w:val="003970C1"/>
    <w:rsid w:val="00397AC5"/>
    <w:rsid w:val="00397BA2"/>
    <w:rsid w:val="00397BF7"/>
    <w:rsid w:val="00397C41"/>
    <w:rsid w:val="003A0184"/>
    <w:rsid w:val="003A04BE"/>
    <w:rsid w:val="003A28E2"/>
    <w:rsid w:val="003A335D"/>
    <w:rsid w:val="003A349B"/>
    <w:rsid w:val="003A37AF"/>
    <w:rsid w:val="003A388B"/>
    <w:rsid w:val="003A49AB"/>
    <w:rsid w:val="003A4D18"/>
    <w:rsid w:val="003A5068"/>
    <w:rsid w:val="003A516B"/>
    <w:rsid w:val="003A7E1B"/>
    <w:rsid w:val="003B07F3"/>
    <w:rsid w:val="003B2837"/>
    <w:rsid w:val="003B31DE"/>
    <w:rsid w:val="003B3EE8"/>
    <w:rsid w:val="003B439F"/>
    <w:rsid w:val="003B48B2"/>
    <w:rsid w:val="003B4A2B"/>
    <w:rsid w:val="003B4C18"/>
    <w:rsid w:val="003B5B6A"/>
    <w:rsid w:val="003C045E"/>
    <w:rsid w:val="003C17F6"/>
    <w:rsid w:val="003C1AD2"/>
    <w:rsid w:val="003C2D10"/>
    <w:rsid w:val="003C33A6"/>
    <w:rsid w:val="003C3BD8"/>
    <w:rsid w:val="003C40E2"/>
    <w:rsid w:val="003C41B4"/>
    <w:rsid w:val="003C4985"/>
    <w:rsid w:val="003C5089"/>
    <w:rsid w:val="003C7101"/>
    <w:rsid w:val="003C73AD"/>
    <w:rsid w:val="003C7A6E"/>
    <w:rsid w:val="003D087E"/>
    <w:rsid w:val="003D20A8"/>
    <w:rsid w:val="003D21B4"/>
    <w:rsid w:val="003D2416"/>
    <w:rsid w:val="003D2850"/>
    <w:rsid w:val="003D2B43"/>
    <w:rsid w:val="003D4C01"/>
    <w:rsid w:val="003D4DB9"/>
    <w:rsid w:val="003D56B0"/>
    <w:rsid w:val="003D5FB0"/>
    <w:rsid w:val="003D646F"/>
    <w:rsid w:val="003D69CC"/>
    <w:rsid w:val="003D7DCA"/>
    <w:rsid w:val="003E02E4"/>
    <w:rsid w:val="003E0B85"/>
    <w:rsid w:val="003E10B4"/>
    <w:rsid w:val="003E191C"/>
    <w:rsid w:val="003E20B2"/>
    <w:rsid w:val="003E3A30"/>
    <w:rsid w:val="003E3E37"/>
    <w:rsid w:val="003E42EE"/>
    <w:rsid w:val="003E491B"/>
    <w:rsid w:val="003E5BD4"/>
    <w:rsid w:val="003E6550"/>
    <w:rsid w:val="003E6B90"/>
    <w:rsid w:val="003E7CFD"/>
    <w:rsid w:val="003F03C0"/>
    <w:rsid w:val="003F0400"/>
    <w:rsid w:val="003F1534"/>
    <w:rsid w:val="003F292A"/>
    <w:rsid w:val="003F2B01"/>
    <w:rsid w:val="003F4185"/>
    <w:rsid w:val="003F4D30"/>
    <w:rsid w:val="003F5E83"/>
    <w:rsid w:val="003F662A"/>
    <w:rsid w:val="003F6895"/>
    <w:rsid w:val="003F6FF0"/>
    <w:rsid w:val="003F7DA9"/>
    <w:rsid w:val="003F7EB0"/>
    <w:rsid w:val="004003C9"/>
    <w:rsid w:val="004004EB"/>
    <w:rsid w:val="0040059A"/>
    <w:rsid w:val="00401A1A"/>
    <w:rsid w:val="0040214B"/>
    <w:rsid w:val="004022FB"/>
    <w:rsid w:val="00403E68"/>
    <w:rsid w:val="00403F82"/>
    <w:rsid w:val="00403FDB"/>
    <w:rsid w:val="004043A7"/>
    <w:rsid w:val="004045F2"/>
    <w:rsid w:val="00404BBC"/>
    <w:rsid w:val="00405EA9"/>
    <w:rsid w:val="004063B8"/>
    <w:rsid w:val="004067F3"/>
    <w:rsid w:val="0040704C"/>
    <w:rsid w:val="00407B4B"/>
    <w:rsid w:val="00411935"/>
    <w:rsid w:val="00411CDE"/>
    <w:rsid w:val="004127D3"/>
    <w:rsid w:val="00412806"/>
    <w:rsid w:val="00413028"/>
    <w:rsid w:val="004134E8"/>
    <w:rsid w:val="00413867"/>
    <w:rsid w:val="00413D64"/>
    <w:rsid w:val="00416154"/>
    <w:rsid w:val="0041715A"/>
    <w:rsid w:val="004172B7"/>
    <w:rsid w:val="00417726"/>
    <w:rsid w:val="00417BC2"/>
    <w:rsid w:val="00417C39"/>
    <w:rsid w:val="004214D1"/>
    <w:rsid w:val="00421A4E"/>
    <w:rsid w:val="00422464"/>
    <w:rsid w:val="00422A65"/>
    <w:rsid w:val="00422D71"/>
    <w:rsid w:val="00422D83"/>
    <w:rsid w:val="00425BE7"/>
    <w:rsid w:val="004263E7"/>
    <w:rsid w:val="004265F4"/>
    <w:rsid w:val="004277A6"/>
    <w:rsid w:val="004304AF"/>
    <w:rsid w:val="00431A69"/>
    <w:rsid w:val="0043359C"/>
    <w:rsid w:val="00433883"/>
    <w:rsid w:val="00433BB7"/>
    <w:rsid w:val="00434B08"/>
    <w:rsid w:val="004353E1"/>
    <w:rsid w:val="00435E83"/>
    <w:rsid w:val="004365AE"/>
    <w:rsid w:val="0043690A"/>
    <w:rsid w:val="00440E1B"/>
    <w:rsid w:val="00442B98"/>
    <w:rsid w:val="00443D31"/>
    <w:rsid w:val="00443D99"/>
    <w:rsid w:val="004442B4"/>
    <w:rsid w:val="004466D6"/>
    <w:rsid w:val="004473B5"/>
    <w:rsid w:val="00450319"/>
    <w:rsid w:val="00451C66"/>
    <w:rsid w:val="00452507"/>
    <w:rsid w:val="00452B0D"/>
    <w:rsid w:val="004543D4"/>
    <w:rsid w:val="00454B2B"/>
    <w:rsid w:val="00454EEA"/>
    <w:rsid w:val="004552CB"/>
    <w:rsid w:val="00455FD1"/>
    <w:rsid w:val="00456EAC"/>
    <w:rsid w:val="0045707C"/>
    <w:rsid w:val="0045718A"/>
    <w:rsid w:val="0045772E"/>
    <w:rsid w:val="00460C63"/>
    <w:rsid w:val="004613A2"/>
    <w:rsid w:val="0046141C"/>
    <w:rsid w:val="00461792"/>
    <w:rsid w:val="004619EC"/>
    <w:rsid w:val="00463A51"/>
    <w:rsid w:val="00464360"/>
    <w:rsid w:val="00465E8C"/>
    <w:rsid w:val="00466C17"/>
    <w:rsid w:val="004671D7"/>
    <w:rsid w:val="00471ADC"/>
    <w:rsid w:val="00472E09"/>
    <w:rsid w:val="00473E69"/>
    <w:rsid w:val="004755A8"/>
    <w:rsid w:val="00475F91"/>
    <w:rsid w:val="00476862"/>
    <w:rsid w:val="00476932"/>
    <w:rsid w:val="004775A6"/>
    <w:rsid w:val="004807DE"/>
    <w:rsid w:val="0048263B"/>
    <w:rsid w:val="0048275D"/>
    <w:rsid w:val="00482F13"/>
    <w:rsid w:val="0048355C"/>
    <w:rsid w:val="0048361A"/>
    <w:rsid w:val="00484CF9"/>
    <w:rsid w:val="00484D63"/>
    <w:rsid w:val="00485272"/>
    <w:rsid w:val="00485773"/>
    <w:rsid w:val="004859AC"/>
    <w:rsid w:val="0048671A"/>
    <w:rsid w:val="004874D4"/>
    <w:rsid w:val="004879D7"/>
    <w:rsid w:val="00490354"/>
    <w:rsid w:val="00490425"/>
    <w:rsid w:val="004910E1"/>
    <w:rsid w:val="00491240"/>
    <w:rsid w:val="00492209"/>
    <w:rsid w:val="00492B51"/>
    <w:rsid w:val="00492D5C"/>
    <w:rsid w:val="0049322D"/>
    <w:rsid w:val="0049335E"/>
    <w:rsid w:val="00493FD2"/>
    <w:rsid w:val="004944D5"/>
    <w:rsid w:val="004950DC"/>
    <w:rsid w:val="004956C7"/>
    <w:rsid w:val="00495AEC"/>
    <w:rsid w:val="00497432"/>
    <w:rsid w:val="004A029A"/>
    <w:rsid w:val="004A14C3"/>
    <w:rsid w:val="004A1C4A"/>
    <w:rsid w:val="004A282E"/>
    <w:rsid w:val="004A37FE"/>
    <w:rsid w:val="004A39FA"/>
    <w:rsid w:val="004A449D"/>
    <w:rsid w:val="004A473C"/>
    <w:rsid w:val="004A4A17"/>
    <w:rsid w:val="004A4C89"/>
    <w:rsid w:val="004A50E4"/>
    <w:rsid w:val="004A54FE"/>
    <w:rsid w:val="004A5B42"/>
    <w:rsid w:val="004A5B71"/>
    <w:rsid w:val="004A5D4A"/>
    <w:rsid w:val="004A61CE"/>
    <w:rsid w:val="004B2CD9"/>
    <w:rsid w:val="004B30FE"/>
    <w:rsid w:val="004B3870"/>
    <w:rsid w:val="004B3FC3"/>
    <w:rsid w:val="004B461C"/>
    <w:rsid w:val="004B5535"/>
    <w:rsid w:val="004B6800"/>
    <w:rsid w:val="004B6E81"/>
    <w:rsid w:val="004B70C9"/>
    <w:rsid w:val="004C1923"/>
    <w:rsid w:val="004C3659"/>
    <w:rsid w:val="004C3FF4"/>
    <w:rsid w:val="004C410D"/>
    <w:rsid w:val="004C43BD"/>
    <w:rsid w:val="004C478F"/>
    <w:rsid w:val="004C7977"/>
    <w:rsid w:val="004D1287"/>
    <w:rsid w:val="004D1E79"/>
    <w:rsid w:val="004D200A"/>
    <w:rsid w:val="004D2088"/>
    <w:rsid w:val="004D2C38"/>
    <w:rsid w:val="004D3AF3"/>
    <w:rsid w:val="004D535E"/>
    <w:rsid w:val="004D6843"/>
    <w:rsid w:val="004D6E7A"/>
    <w:rsid w:val="004D76A1"/>
    <w:rsid w:val="004E041F"/>
    <w:rsid w:val="004E2A84"/>
    <w:rsid w:val="004E3BC9"/>
    <w:rsid w:val="004E4813"/>
    <w:rsid w:val="004E5F81"/>
    <w:rsid w:val="004E6575"/>
    <w:rsid w:val="004F00D1"/>
    <w:rsid w:val="004F024C"/>
    <w:rsid w:val="004F0DE0"/>
    <w:rsid w:val="004F0FBB"/>
    <w:rsid w:val="004F1040"/>
    <w:rsid w:val="004F1283"/>
    <w:rsid w:val="004F44A7"/>
    <w:rsid w:val="004F4EAA"/>
    <w:rsid w:val="004F6AE3"/>
    <w:rsid w:val="004F6C23"/>
    <w:rsid w:val="004F73AE"/>
    <w:rsid w:val="0050078D"/>
    <w:rsid w:val="005008EA"/>
    <w:rsid w:val="005015D1"/>
    <w:rsid w:val="005025D6"/>
    <w:rsid w:val="00502823"/>
    <w:rsid w:val="0050333C"/>
    <w:rsid w:val="00504014"/>
    <w:rsid w:val="005063F4"/>
    <w:rsid w:val="005064B4"/>
    <w:rsid w:val="00510CF1"/>
    <w:rsid w:val="00512767"/>
    <w:rsid w:val="005145AC"/>
    <w:rsid w:val="005146EC"/>
    <w:rsid w:val="00515510"/>
    <w:rsid w:val="0051553E"/>
    <w:rsid w:val="00515B15"/>
    <w:rsid w:val="005161A3"/>
    <w:rsid w:val="00516E98"/>
    <w:rsid w:val="005177D0"/>
    <w:rsid w:val="00517F6A"/>
    <w:rsid w:val="00520722"/>
    <w:rsid w:val="00520B5F"/>
    <w:rsid w:val="00523687"/>
    <w:rsid w:val="0052450E"/>
    <w:rsid w:val="00524AA6"/>
    <w:rsid w:val="00524C0E"/>
    <w:rsid w:val="005255E1"/>
    <w:rsid w:val="0052699F"/>
    <w:rsid w:val="00526A4B"/>
    <w:rsid w:val="00527427"/>
    <w:rsid w:val="00527DE2"/>
    <w:rsid w:val="00527EA1"/>
    <w:rsid w:val="00530091"/>
    <w:rsid w:val="00532AFA"/>
    <w:rsid w:val="00532CB1"/>
    <w:rsid w:val="005332A9"/>
    <w:rsid w:val="005336A3"/>
    <w:rsid w:val="005340D5"/>
    <w:rsid w:val="00535714"/>
    <w:rsid w:val="00535B49"/>
    <w:rsid w:val="00537177"/>
    <w:rsid w:val="00537AE8"/>
    <w:rsid w:val="005403EE"/>
    <w:rsid w:val="00541466"/>
    <w:rsid w:val="0054289A"/>
    <w:rsid w:val="00542E9C"/>
    <w:rsid w:val="00542EC0"/>
    <w:rsid w:val="00544B4D"/>
    <w:rsid w:val="00545C2C"/>
    <w:rsid w:val="005460ED"/>
    <w:rsid w:val="00546843"/>
    <w:rsid w:val="00547634"/>
    <w:rsid w:val="00547D9F"/>
    <w:rsid w:val="00550BC7"/>
    <w:rsid w:val="005511F6"/>
    <w:rsid w:val="00551402"/>
    <w:rsid w:val="005522BF"/>
    <w:rsid w:val="00552817"/>
    <w:rsid w:val="00552D34"/>
    <w:rsid w:val="00552FF4"/>
    <w:rsid w:val="00553DF8"/>
    <w:rsid w:val="0055464C"/>
    <w:rsid w:val="00554F4F"/>
    <w:rsid w:val="00555CC1"/>
    <w:rsid w:val="00556499"/>
    <w:rsid w:val="0055649C"/>
    <w:rsid w:val="00557068"/>
    <w:rsid w:val="00560070"/>
    <w:rsid w:val="005601B3"/>
    <w:rsid w:val="005602BB"/>
    <w:rsid w:val="00560F07"/>
    <w:rsid w:val="00561B45"/>
    <w:rsid w:val="00561DAC"/>
    <w:rsid w:val="005628CA"/>
    <w:rsid w:val="00562FB2"/>
    <w:rsid w:val="0056391B"/>
    <w:rsid w:val="00563ABF"/>
    <w:rsid w:val="00563FC7"/>
    <w:rsid w:val="00564C30"/>
    <w:rsid w:val="00565F48"/>
    <w:rsid w:val="00566A97"/>
    <w:rsid w:val="0056713B"/>
    <w:rsid w:val="00567D26"/>
    <w:rsid w:val="005706E3"/>
    <w:rsid w:val="00571513"/>
    <w:rsid w:val="0057178B"/>
    <w:rsid w:val="0057226A"/>
    <w:rsid w:val="00572B23"/>
    <w:rsid w:val="00572F58"/>
    <w:rsid w:val="00574D87"/>
    <w:rsid w:val="0057524D"/>
    <w:rsid w:val="005752C6"/>
    <w:rsid w:val="00575468"/>
    <w:rsid w:val="0057799A"/>
    <w:rsid w:val="005802E9"/>
    <w:rsid w:val="005817AA"/>
    <w:rsid w:val="005825EF"/>
    <w:rsid w:val="005835F3"/>
    <w:rsid w:val="00583A1A"/>
    <w:rsid w:val="00583ED7"/>
    <w:rsid w:val="00584273"/>
    <w:rsid w:val="00584DD3"/>
    <w:rsid w:val="00584F5A"/>
    <w:rsid w:val="00585110"/>
    <w:rsid w:val="00586A04"/>
    <w:rsid w:val="00586F3B"/>
    <w:rsid w:val="00587659"/>
    <w:rsid w:val="00591A8E"/>
    <w:rsid w:val="00593C7A"/>
    <w:rsid w:val="005940FA"/>
    <w:rsid w:val="00595C32"/>
    <w:rsid w:val="0059636B"/>
    <w:rsid w:val="00596636"/>
    <w:rsid w:val="0059694C"/>
    <w:rsid w:val="005969B9"/>
    <w:rsid w:val="00596B19"/>
    <w:rsid w:val="005A046F"/>
    <w:rsid w:val="005A0802"/>
    <w:rsid w:val="005A099C"/>
    <w:rsid w:val="005A0B5C"/>
    <w:rsid w:val="005A10BB"/>
    <w:rsid w:val="005A236F"/>
    <w:rsid w:val="005A27EB"/>
    <w:rsid w:val="005A29C7"/>
    <w:rsid w:val="005A4344"/>
    <w:rsid w:val="005A4EF0"/>
    <w:rsid w:val="005A54DA"/>
    <w:rsid w:val="005A5769"/>
    <w:rsid w:val="005A5D6F"/>
    <w:rsid w:val="005A5E5E"/>
    <w:rsid w:val="005A5E88"/>
    <w:rsid w:val="005A62BD"/>
    <w:rsid w:val="005A6EA1"/>
    <w:rsid w:val="005A70F5"/>
    <w:rsid w:val="005A71C7"/>
    <w:rsid w:val="005A7753"/>
    <w:rsid w:val="005A7884"/>
    <w:rsid w:val="005B02DD"/>
    <w:rsid w:val="005B0AA7"/>
    <w:rsid w:val="005B13B3"/>
    <w:rsid w:val="005B1BD2"/>
    <w:rsid w:val="005B1C4B"/>
    <w:rsid w:val="005B1D2E"/>
    <w:rsid w:val="005B253A"/>
    <w:rsid w:val="005B2859"/>
    <w:rsid w:val="005B350D"/>
    <w:rsid w:val="005B3CAC"/>
    <w:rsid w:val="005B3D64"/>
    <w:rsid w:val="005B4245"/>
    <w:rsid w:val="005B42A2"/>
    <w:rsid w:val="005B519F"/>
    <w:rsid w:val="005B7EFF"/>
    <w:rsid w:val="005C0AFB"/>
    <w:rsid w:val="005C1EFB"/>
    <w:rsid w:val="005C26C2"/>
    <w:rsid w:val="005C2A20"/>
    <w:rsid w:val="005C3CDF"/>
    <w:rsid w:val="005C47E6"/>
    <w:rsid w:val="005C4F54"/>
    <w:rsid w:val="005C52C5"/>
    <w:rsid w:val="005C57F9"/>
    <w:rsid w:val="005C685F"/>
    <w:rsid w:val="005C6958"/>
    <w:rsid w:val="005C6B3C"/>
    <w:rsid w:val="005C6FC5"/>
    <w:rsid w:val="005C7275"/>
    <w:rsid w:val="005C7309"/>
    <w:rsid w:val="005C755B"/>
    <w:rsid w:val="005C7F52"/>
    <w:rsid w:val="005D05DD"/>
    <w:rsid w:val="005D1AF3"/>
    <w:rsid w:val="005D37E7"/>
    <w:rsid w:val="005D3A48"/>
    <w:rsid w:val="005D42B1"/>
    <w:rsid w:val="005D4A64"/>
    <w:rsid w:val="005D5007"/>
    <w:rsid w:val="005D53E0"/>
    <w:rsid w:val="005D64E9"/>
    <w:rsid w:val="005D6FC2"/>
    <w:rsid w:val="005D7645"/>
    <w:rsid w:val="005E11D1"/>
    <w:rsid w:val="005E1524"/>
    <w:rsid w:val="005E15A5"/>
    <w:rsid w:val="005E17F6"/>
    <w:rsid w:val="005E1A5B"/>
    <w:rsid w:val="005E23EE"/>
    <w:rsid w:val="005E321F"/>
    <w:rsid w:val="005E4653"/>
    <w:rsid w:val="005E4A0C"/>
    <w:rsid w:val="005E4A29"/>
    <w:rsid w:val="005E5392"/>
    <w:rsid w:val="005E56D9"/>
    <w:rsid w:val="005E5B1F"/>
    <w:rsid w:val="005E6E23"/>
    <w:rsid w:val="005E6F03"/>
    <w:rsid w:val="005E70A0"/>
    <w:rsid w:val="005E7EAD"/>
    <w:rsid w:val="005F01DB"/>
    <w:rsid w:val="005F038E"/>
    <w:rsid w:val="005F03CA"/>
    <w:rsid w:val="005F0468"/>
    <w:rsid w:val="005F1318"/>
    <w:rsid w:val="005F1DEE"/>
    <w:rsid w:val="005F237D"/>
    <w:rsid w:val="005F2AB4"/>
    <w:rsid w:val="005F2B91"/>
    <w:rsid w:val="005F34D3"/>
    <w:rsid w:val="005F52DE"/>
    <w:rsid w:val="005F5C0F"/>
    <w:rsid w:val="005F5D61"/>
    <w:rsid w:val="005F6294"/>
    <w:rsid w:val="005F69E2"/>
    <w:rsid w:val="005F7C7A"/>
    <w:rsid w:val="005F7E5C"/>
    <w:rsid w:val="00600C00"/>
    <w:rsid w:val="006015EE"/>
    <w:rsid w:val="0060160C"/>
    <w:rsid w:val="006024FE"/>
    <w:rsid w:val="00603710"/>
    <w:rsid w:val="00603D59"/>
    <w:rsid w:val="006048FC"/>
    <w:rsid w:val="00605601"/>
    <w:rsid w:val="0060783F"/>
    <w:rsid w:val="00607AE7"/>
    <w:rsid w:val="00607F48"/>
    <w:rsid w:val="00607F8E"/>
    <w:rsid w:val="00612EC8"/>
    <w:rsid w:val="00613105"/>
    <w:rsid w:val="00614424"/>
    <w:rsid w:val="006144A5"/>
    <w:rsid w:val="006144E8"/>
    <w:rsid w:val="00616136"/>
    <w:rsid w:val="00616160"/>
    <w:rsid w:val="006161F8"/>
    <w:rsid w:val="00616D9C"/>
    <w:rsid w:val="00617198"/>
    <w:rsid w:val="00621924"/>
    <w:rsid w:val="00621ED9"/>
    <w:rsid w:val="00623DB7"/>
    <w:rsid w:val="006240CF"/>
    <w:rsid w:val="0062521E"/>
    <w:rsid w:val="0062583F"/>
    <w:rsid w:val="00625D6B"/>
    <w:rsid w:val="0062620A"/>
    <w:rsid w:val="0062759D"/>
    <w:rsid w:val="006301D4"/>
    <w:rsid w:val="00630B7A"/>
    <w:rsid w:val="006318F0"/>
    <w:rsid w:val="00631D40"/>
    <w:rsid w:val="006325C3"/>
    <w:rsid w:val="00632D47"/>
    <w:rsid w:val="00634BDE"/>
    <w:rsid w:val="00635910"/>
    <w:rsid w:val="006359E8"/>
    <w:rsid w:val="00636A3C"/>
    <w:rsid w:val="006375A6"/>
    <w:rsid w:val="00637CB2"/>
    <w:rsid w:val="00640B15"/>
    <w:rsid w:val="006415FA"/>
    <w:rsid w:val="00641CD2"/>
    <w:rsid w:val="0064239C"/>
    <w:rsid w:val="00642963"/>
    <w:rsid w:val="00642B56"/>
    <w:rsid w:val="00644D2B"/>
    <w:rsid w:val="00645AB8"/>
    <w:rsid w:val="0064617D"/>
    <w:rsid w:val="0064619D"/>
    <w:rsid w:val="00646266"/>
    <w:rsid w:val="00646E93"/>
    <w:rsid w:val="00646F83"/>
    <w:rsid w:val="0064719A"/>
    <w:rsid w:val="006473B5"/>
    <w:rsid w:val="00647CD0"/>
    <w:rsid w:val="00651D7E"/>
    <w:rsid w:val="0065437C"/>
    <w:rsid w:val="006547D4"/>
    <w:rsid w:val="0065490A"/>
    <w:rsid w:val="0065663B"/>
    <w:rsid w:val="006568CE"/>
    <w:rsid w:val="00656CED"/>
    <w:rsid w:val="00656DB0"/>
    <w:rsid w:val="00657575"/>
    <w:rsid w:val="006617D6"/>
    <w:rsid w:val="00661BA4"/>
    <w:rsid w:val="00662133"/>
    <w:rsid w:val="006621D0"/>
    <w:rsid w:val="00662512"/>
    <w:rsid w:val="00662629"/>
    <w:rsid w:val="00664E8D"/>
    <w:rsid w:val="00664EB8"/>
    <w:rsid w:val="006664B4"/>
    <w:rsid w:val="0066710F"/>
    <w:rsid w:val="0066796F"/>
    <w:rsid w:val="00667E04"/>
    <w:rsid w:val="00670D70"/>
    <w:rsid w:val="00671F93"/>
    <w:rsid w:val="0067234C"/>
    <w:rsid w:val="00673051"/>
    <w:rsid w:val="006735BA"/>
    <w:rsid w:val="006745AD"/>
    <w:rsid w:val="006746C3"/>
    <w:rsid w:val="00676071"/>
    <w:rsid w:val="00676E3F"/>
    <w:rsid w:val="006770E1"/>
    <w:rsid w:val="00677B5D"/>
    <w:rsid w:val="00677CE1"/>
    <w:rsid w:val="00680C56"/>
    <w:rsid w:val="006817B5"/>
    <w:rsid w:val="00682200"/>
    <w:rsid w:val="0068455A"/>
    <w:rsid w:val="00685C25"/>
    <w:rsid w:val="006860C5"/>
    <w:rsid w:val="00686212"/>
    <w:rsid w:val="00686F20"/>
    <w:rsid w:val="00690462"/>
    <w:rsid w:val="006906A3"/>
    <w:rsid w:val="0069071E"/>
    <w:rsid w:val="00690924"/>
    <w:rsid w:val="00691DBF"/>
    <w:rsid w:val="00691EE4"/>
    <w:rsid w:val="006926BD"/>
    <w:rsid w:val="00692837"/>
    <w:rsid w:val="006934BF"/>
    <w:rsid w:val="00694301"/>
    <w:rsid w:val="006944D7"/>
    <w:rsid w:val="006946D9"/>
    <w:rsid w:val="00694906"/>
    <w:rsid w:val="00694F3D"/>
    <w:rsid w:val="0069554C"/>
    <w:rsid w:val="00696185"/>
    <w:rsid w:val="00696366"/>
    <w:rsid w:val="0069763A"/>
    <w:rsid w:val="00697A5D"/>
    <w:rsid w:val="00697B5B"/>
    <w:rsid w:val="006A029D"/>
    <w:rsid w:val="006A27BF"/>
    <w:rsid w:val="006A3774"/>
    <w:rsid w:val="006A4268"/>
    <w:rsid w:val="006A42D0"/>
    <w:rsid w:val="006A46EF"/>
    <w:rsid w:val="006A4982"/>
    <w:rsid w:val="006A5E58"/>
    <w:rsid w:val="006A6324"/>
    <w:rsid w:val="006A6A71"/>
    <w:rsid w:val="006A76F0"/>
    <w:rsid w:val="006A7E6C"/>
    <w:rsid w:val="006A7EB7"/>
    <w:rsid w:val="006B02FD"/>
    <w:rsid w:val="006B047F"/>
    <w:rsid w:val="006B0E62"/>
    <w:rsid w:val="006B100E"/>
    <w:rsid w:val="006B11DA"/>
    <w:rsid w:val="006B1432"/>
    <w:rsid w:val="006B2542"/>
    <w:rsid w:val="006B3ECB"/>
    <w:rsid w:val="006B42AA"/>
    <w:rsid w:val="006B551F"/>
    <w:rsid w:val="006B5A1D"/>
    <w:rsid w:val="006B5D7D"/>
    <w:rsid w:val="006B61A6"/>
    <w:rsid w:val="006B661B"/>
    <w:rsid w:val="006B7A7E"/>
    <w:rsid w:val="006C0E6A"/>
    <w:rsid w:val="006C1FF6"/>
    <w:rsid w:val="006C35EE"/>
    <w:rsid w:val="006C3A61"/>
    <w:rsid w:val="006C446D"/>
    <w:rsid w:val="006C4BF1"/>
    <w:rsid w:val="006C4DCC"/>
    <w:rsid w:val="006C4FA1"/>
    <w:rsid w:val="006C5AD7"/>
    <w:rsid w:val="006C7766"/>
    <w:rsid w:val="006D0B50"/>
    <w:rsid w:val="006D2F91"/>
    <w:rsid w:val="006D34E1"/>
    <w:rsid w:val="006D36AF"/>
    <w:rsid w:val="006D4503"/>
    <w:rsid w:val="006D517D"/>
    <w:rsid w:val="006D6956"/>
    <w:rsid w:val="006E11FC"/>
    <w:rsid w:val="006E3D19"/>
    <w:rsid w:val="006E3FE3"/>
    <w:rsid w:val="006E46B9"/>
    <w:rsid w:val="006E48E0"/>
    <w:rsid w:val="006E49AF"/>
    <w:rsid w:val="006E4C28"/>
    <w:rsid w:val="006E55E9"/>
    <w:rsid w:val="006E58B9"/>
    <w:rsid w:val="006E6C2D"/>
    <w:rsid w:val="006E7614"/>
    <w:rsid w:val="006E7AA9"/>
    <w:rsid w:val="006F09D2"/>
    <w:rsid w:val="006F23D7"/>
    <w:rsid w:val="006F2473"/>
    <w:rsid w:val="006F27E7"/>
    <w:rsid w:val="006F2E85"/>
    <w:rsid w:val="006F3CA3"/>
    <w:rsid w:val="006F4086"/>
    <w:rsid w:val="006F40EC"/>
    <w:rsid w:val="006F41C8"/>
    <w:rsid w:val="006F45FE"/>
    <w:rsid w:val="006F51B6"/>
    <w:rsid w:val="006F7565"/>
    <w:rsid w:val="006F7850"/>
    <w:rsid w:val="00700E39"/>
    <w:rsid w:val="00701A50"/>
    <w:rsid w:val="00701F42"/>
    <w:rsid w:val="007020FA"/>
    <w:rsid w:val="00702972"/>
    <w:rsid w:val="00702F35"/>
    <w:rsid w:val="00705EBF"/>
    <w:rsid w:val="007066BB"/>
    <w:rsid w:val="00706D38"/>
    <w:rsid w:val="00706DFF"/>
    <w:rsid w:val="00710508"/>
    <w:rsid w:val="007155DB"/>
    <w:rsid w:val="007157B3"/>
    <w:rsid w:val="00716AB8"/>
    <w:rsid w:val="00716D83"/>
    <w:rsid w:val="00720953"/>
    <w:rsid w:val="00721436"/>
    <w:rsid w:val="0072171F"/>
    <w:rsid w:val="00721A94"/>
    <w:rsid w:val="00721C8E"/>
    <w:rsid w:val="00721DF0"/>
    <w:rsid w:val="007223BA"/>
    <w:rsid w:val="00722A4C"/>
    <w:rsid w:val="0072308E"/>
    <w:rsid w:val="007239A3"/>
    <w:rsid w:val="00724BC5"/>
    <w:rsid w:val="00725340"/>
    <w:rsid w:val="007260F7"/>
    <w:rsid w:val="0072661C"/>
    <w:rsid w:val="007275F2"/>
    <w:rsid w:val="00732A64"/>
    <w:rsid w:val="00732BE4"/>
    <w:rsid w:val="00733424"/>
    <w:rsid w:val="00734388"/>
    <w:rsid w:val="00734BBE"/>
    <w:rsid w:val="007360E2"/>
    <w:rsid w:val="00736928"/>
    <w:rsid w:val="00737C42"/>
    <w:rsid w:val="00741656"/>
    <w:rsid w:val="00742034"/>
    <w:rsid w:val="00742CEB"/>
    <w:rsid w:val="00743406"/>
    <w:rsid w:val="00744968"/>
    <w:rsid w:val="00746322"/>
    <w:rsid w:val="00746DFC"/>
    <w:rsid w:val="0074727A"/>
    <w:rsid w:val="00750025"/>
    <w:rsid w:val="007509B0"/>
    <w:rsid w:val="00750D98"/>
    <w:rsid w:val="00751858"/>
    <w:rsid w:val="007525B9"/>
    <w:rsid w:val="00752646"/>
    <w:rsid w:val="007550DA"/>
    <w:rsid w:val="00756A97"/>
    <w:rsid w:val="00756BCB"/>
    <w:rsid w:val="00757440"/>
    <w:rsid w:val="00757455"/>
    <w:rsid w:val="0075790E"/>
    <w:rsid w:val="00757967"/>
    <w:rsid w:val="00757A11"/>
    <w:rsid w:val="00760B20"/>
    <w:rsid w:val="0076179F"/>
    <w:rsid w:val="007623A7"/>
    <w:rsid w:val="00762531"/>
    <w:rsid w:val="007645F7"/>
    <w:rsid w:val="00765001"/>
    <w:rsid w:val="007650D5"/>
    <w:rsid w:val="00765C8A"/>
    <w:rsid w:val="00767EC9"/>
    <w:rsid w:val="007704A7"/>
    <w:rsid w:val="00770929"/>
    <w:rsid w:val="00772811"/>
    <w:rsid w:val="00773442"/>
    <w:rsid w:val="007770AA"/>
    <w:rsid w:val="007779AB"/>
    <w:rsid w:val="007806B8"/>
    <w:rsid w:val="0078096C"/>
    <w:rsid w:val="007843D6"/>
    <w:rsid w:val="00785321"/>
    <w:rsid w:val="007859CF"/>
    <w:rsid w:val="00785CF4"/>
    <w:rsid w:val="0078685A"/>
    <w:rsid w:val="00786AAF"/>
    <w:rsid w:val="00786E91"/>
    <w:rsid w:val="0078777E"/>
    <w:rsid w:val="00792534"/>
    <w:rsid w:val="0079388C"/>
    <w:rsid w:val="00793BD3"/>
    <w:rsid w:val="00793F7B"/>
    <w:rsid w:val="00794F66"/>
    <w:rsid w:val="007965F2"/>
    <w:rsid w:val="00796E08"/>
    <w:rsid w:val="007A09F4"/>
    <w:rsid w:val="007A2080"/>
    <w:rsid w:val="007A209C"/>
    <w:rsid w:val="007A2D1A"/>
    <w:rsid w:val="007A3773"/>
    <w:rsid w:val="007A4410"/>
    <w:rsid w:val="007A493A"/>
    <w:rsid w:val="007A6333"/>
    <w:rsid w:val="007A63B5"/>
    <w:rsid w:val="007A6522"/>
    <w:rsid w:val="007A652B"/>
    <w:rsid w:val="007A6665"/>
    <w:rsid w:val="007B1ED4"/>
    <w:rsid w:val="007B40F4"/>
    <w:rsid w:val="007B5454"/>
    <w:rsid w:val="007B64E0"/>
    <w:rsid w:val="007B6FFE"/>
    <w:rsid w:val="007B7311"/>
    <w:rsid w:val="007C3608"/>
    <w:rsid w:val="007C641D"/>
    <w:rsid w:val="007C682E"/>
    <w:rsid w:val="007C6F9C"/>
    <w:rsid w:val="007D41E2"/>
    <w:rsid w:val="007D543F"/>
    <w:rsid w:val="007D5488"/>
    <w:rsid w:val="007D5F9E"/>
    <w:rsid w:val="007D6612"/>
    <w:rsid w:val="007D73EB"/>
    <w:rsid w:val="007D7BC4"/>
    <w:rsid w:val="007E07C3"/>
    <w:rsid w:val="007E0DD6"/>
    <w:rsid w:val="007E12AE"/>
    <w:rsid w:val="007E14BB"/>
    <w:rsid w:val="007E22E1"/>
    <w:rsid w:val="007E305C"/>
    <w:rsid w:val="007E36DA"/>
    <w:rsid w:val="007E3D6C"/>
    <w:rsid w:val="007E3E6F"/>
    <w:rsid w:val="007E40DC"/>
    <w:rsid w:val="007E4901"/>
    <w:rsid w:val="007E72CF"/>
    <w:rsid w:val="007E7E75"/>
    <w:rsid w:val="007E7FB6"/>
    <w:rsid w:val="007F0E40"/>
    <w:rsid w:val="007F175C"/>
    <w:rsid w:val="007F1D21"/>
    <w:rsid w:val="007F4436"/>
    <w:rsid w:val="007F5FA8"/>
    <w:rsid w:val="007F65B6"/>
    <w:rsid w:val="007F7AF2"/>
    <w:rsid w:val="00800104"/>
    <w:rsid w:val="008009D6"/>
    <w:rsid w:val="00801BFD"/>
    <w:rsid w:val="008022A9"/>
    <w:rsid w:val="0080297B"/>
    <w:rsid w:val="008039DD"/>
    <w:rsid w:val="00803C27"/>
    <w:rsid w:val="00803F05"/>
    <w:rsid w:val="008052A2"/>
    <w:rsid w:val="00805F29"/>
    <w:rsid w:val="00806DE9"/>
    <w:rsid w:val="008079DB"/>
    <w:rsid w:val="0081130E"/>
    <w:rsid w:val="00811675"/>
    <w:rsid w:val="0081194D"/>
    <w:rsid w:val="00812506"/>
    <w:rsid w:val="00812FED"/>
    <w:rsid w:val="0081303E"/>
    <w:rsid w:val="008152F4"/>
    <w:rsid w:val="00816405"/>
    <w:rsid w:val="00816562"/>
    <w:rsid w:val="00816E0C"/>
    <w:rsid w:val="00817036"/>
    <w:rsid w:val="0081714A"/>
    <w:rsid w:val="008174B1"/>
    <w:rsid w:val="00817EB8"/>
    <w:rsid w:val="00821A8A"/>
    <w:rsid w:val="00821FFA"/>
    <w:rsid w:val="00822398"/>
    <w:rsid w:val="00822DEE"/>
    <w:rsid w:val="00823487"/>
    <w:rsid w:val="00824139"/>
    <w:rsid w:val="00825F8D"/>
    <w:rsid w:val="00826972"/>
    <w:rsid w:val="008269FD"/>
    <w:rsid w:val="00827918"/>
    <w:rsid w:val="0083015D"/>
    <w:rsid w:val="008314F8"/>
    <w:rsid w:val="00832617"/>
    <w:rsid w:val="00832708"/>
    <w:rsid w:val="00832E84"/>
    <w:rsid w:val="008339CB"/>
    <w:rsid w:val="008347F6"/>
    <w:rsid w:val="00834856"/>
    <w:rsid w:val="00834A57"/>
    <w:rsid w:val="00835F4D"/>
    <w:rsid w:val="00835F65"/>
    <w:rsid w:val="008360F3"/>
    <w:rsid w:val="00836DC6"/>
    <w:rsid w:val="008428F4"/>
    <w:rsid w:val="008429C6"/>
    <w:rsid w:val="00844E26"/>
    <w:rsid w:val="0084515A"/>
    <w:rsid w:val="0084531A"/>
    <w:rsid w:val="00847226"/>
    <w:rsid w:val="00847A16"/>
    <w:rsid w:val="008503EA"/>
    <w:rsid w:val="00850ABD"/>
    <w:rsid w:val="0085234D"/>
    <w:rsid w:val="008523C9"/>
    <w:rsid w:val="00852D4F"/>
    <w:rsid w:val="00852EE7"/>
    <w:rsid w:val="00853647"/>
    <w:rsid w:val="00853C96"/>
    <w:rsid w:val="008555B5"/>
    <w:rsid w:val="008558F9"/>
    <w:rsid w:val="00855B42"/>
    <w:rsid w:val="00855DAB"/>
    <w:rsid w:val="0085610B"/>
    <w:rsid w:val="00856542"/>
    <w:rsid w:val="00856CB7"/>
    <w:rsid w:val="0085754F"/>
    <w:rsid w:val="0085769E"/>
    <w:rsid w:val="00857BA7"/>
    <w:rsid w:val="00857C74"/>
    <w:rsid w:val="008606DA"/>
    <w:rsid w:val="00861DF8"/>
    <w:rsid w:val="00862525"/>
    <w:rsid w:val="0086340E"/>
    <w:rsid w:val="008637D4"/>
    <w:rsid w:val="00863B8D"/>
    <w:rsid w:val="0086445B"/>
    <w:rsid w:val="00864806"/>
    <w:rsid w:val="00865644"/>
    <w:rsid w:val="0086700D"/>
    <w:rsid w:val="008671C1"/>
    <w:rsid w:val="00867ECF"/>
    <w:rsid w:val="008700F3"/>
    <w:rsid w:val="008717CF"/>
    <w:rsid w:val="0087270E"/>
    <w:rsid w:val="00872CBD"/>
    <w:rsid w:val="00873701"/>
    <w:rsid w:val="008737DF"/>
    <w:rsid w:val="008745FA"/>
    <w:rsid w:val="00874E2C"/>
    <w:rsid w:val="00876BF8"/>
    <w:rsid w:val="00880905"/>
    <w:rsid w:val="00881726"/>
    <w:rsid w:val="008828C2"/>
    <w:rsid w:val="008835B0"/>
    <w:rsid w:val="00883EC4"/>
    <w:rsid w:val="00884229"/>
    <w:rsid w:val="008848A8"/>
    <w:rsid w:val="00884C6D"/>
    <w:rsid w:val="00885810"/>
    <w:rsid w:val="008877A9"/>
    <w:rsid w:val="00890C03"/>
    <w:rsid w:val="00891190"/>
    <w:rsid w:val="008911B3"/>
    <w:rsid w:val="0089231C"/>
    <w:rsid w:val="00894B83"/>
    <w:rsid w:val="00895696"/>
    <w:rsid w:val="00895BC2"/>
    <w:rsid w:val="00897CC1"/>
    <w:rsid w:val="008A04FC"/>
    <w:rsid w:val="008A0F6E"/>
    <w:rsid w:val="008A1948"/>
    <w:rsid w:val="008A291B"/>
    <w:rsid w:val="008A3583"/>
    <w:rsid w:val="008A3B7C"/>
    <w:rsid w:val="008A4AD1"/>
    <w:rsid w:val="008A5A03"/>
    <w:rsid w:val="008A5EB0"/>
    <w:rsid w:val="008A5FE8"/>
    <w:rsid w:val="008B0286"/>
    <w:rsid w:val="008B067C"/>
    <w:rsid w:val="008B13D3"/>
    <w:rsid w:val="008B1446"/>
    <w:rsid w:val="008B1BC2"/>
    <w:rsid w:val="008B1E92"/>
    <w:rsid w:val="008B22B7"/>
    <w:rsid w:val="008B2A79"/>
    <w:rsid w:val="008B2AC8"/>
    <w:rsid w:val="008B3F3B"/>
    <w:rsid w:val="008B6437"/>
    <w:rsid w:val="008B685B"/>
    <w:rsid w:val="008B6AE3"/>
    <w:rsid w:val="008B706E"/>
    <w:rsid w:val="008B78E3"/>
    <w:rsid w:val="008B798F"/>
    <w:rsid w:val="008B7CD0"/>
    <w:rsid w:val="008B7D61"/>
    <w:rsid w:val="008C3345"/>
    <w:rsid w:val="008C3C15"/>
    <w:rsid w:val="008C4945"/>
    <w:rsid w:val="008C4CB6"/>
    <w:rsid w:val="008C6BAB"/>
    <w:rsid w:val="008C7A8B"/>
    <w:rsid w:val="008D1590"/>
    <w:rsid w:val="008D1DF5"/>
    <w:rsid w:val="008D24AC"/>
    <w:rsid w:val="008D292B"/>
    <w:rsid w:val="008D36DB"/>
    <w:rsid w:val="008D5AEB"/>
    <w:rsid w:val="008D5B79"/>
    <w:rsid w:val="008D5F67"/>
    <w:rsid w:val="008D6167"/>
    <w:rsid w:val="008E1325"/>
    <w:rsid w:val="008E157F"/>
    <w:rsid w:val="008E1662"/>
    <w:rsid w:val="008E1EB1"/>
    <w:rsid w:val="008E2907"/>
    <w:rsid w:val="008E39DB"/>
    <w:rsid w:val="008E43C3"/>
    <w:rsid w:val="008E4959"/>
    <w:rsid w:val="008E71AF"/>
    <w:rsid w:val="008E72B4"/>
    <w:rsid w:val="008F14EC"/>
    <w:rsid w:val="008F254C"/>
    <w:rsid w:val="008F364D"/>
    <w:rsid w:val="008F4501"/>
    <w:rsid w:val="008F48A1"/>
    <w:rsid w:val="008F52C0"/>
    <w:rsid w:val="008F55AA"/>
    <w:rsid w:val="008F55E0"/>
    <w:rsid w:val="008F59DB"/>
    <w:rsid w:val="008F753F"/>
    <w:rsid w:val="008F7D7B"/>
    <w:rsid w:val="008F7FAC"/>
    <w:rsid w:val="00900F75"/>
    <w:rsid w:val="00901A92"/>
    <w:rsid w:val="009021AA"/>
    <w:rsid w:val="00903D28"/>
    <w:rsid w:val="00904793"/>
    <w:rsid w:val="009051B0"/>
    <w:rsid w:val="00906BE5"/>
    <w:rsid w:val="00907372"/>
    <w:rsid w:val="00910009"/>
    <w:rsid w:val="00910214"/>
    <w:rsid w:val="00911054"/>
    <w:rsid w:val="00911D0C"/>
    <w:rsid w:val="00913F83"/>
    <w:rsid w:val="0091469C"/>
    <w:rsid w:val="00916029"/>
    <w:rsid w:val="00920202"/>
    <w:rsid w:val="00920831"/>
    <w:rsid w:val="0092115A"/>
    <w:rsid w:val="00922B1F"/>
    <w:rsid w:val="009239E4"/>
    <w:rsid w:val="00924565"/>
    <w:rsid w:val="00925394"/>
    <w:rsid w:val="0092573B"/>
    <w:rsid w:val="00925AD6"/>
    <w:rsid w:val="00925CC1"/>
    <w:rsid w:val="00927A71"/>
    <w:rsid w:val="00927BC8"/>
    <w:rsid w:val="00927D03"/>
    <w:rsid w:val="009306C3"/>
    <w:rsid w:val="00930ED3"/>
    <w:rsid w:val="00931A69"/>
    <w:rsid w:val="00934B41"/>
    <w:rsid w:val="00934BEA"/>
    <w:rsid w:val="009351DC"/>
    <w:rsid w:val="009358FC"/>
    <w:rsid w:val="009365A5"/>
    <w:rsid w:val="009367E1"/>
    <w:rsid w:val="00936802"/>
    <w:rsid w:val="009375EC"/>
    <w:rsid w:val="009404EC"/>
    <w:rsid w:val="00940DA6"/>
    <w:rsid w:val="00941B76"/>
    <w:rsid w:val="00943AE5"/>
    <w:rsid w:val="00944C11"/>
    <w:rsid w:val="00945C25"/>
    <w:rsid w:val="009461C0"/>
    <w:rsid w:val="00946895"/>
    <w:rsid w:val="00947706"/>
    <w:rsid w:val="00951058"/>
    <w:rsid w:val="0095113F"/>
    <w:rsid w:val="009520AB"/>
    <w:rsid w:val="00953230"/>
    <w:rsid w:val="009535E8"/>
    <w:rsid w:val="00953C61"/>
    <w:rsid w:val="009552B1"/>
    <w:rsid w:val="009556DD"/>
    <w:rsid w:val="009563E8"/>
    <w:rsid w:val="009571B3"/>
    <w:rsid w:val="00960AE3"/>
    <w:rsid w:val="009629B8"/>
    <w:rsid w:val="009629E1"/>
    <w:rsid w:val="009639E9"/>
    <w:rsid w:val="00963C22"/>
    <w:rsid w:val="00965C99"/>
    <w:rsid w:val="0096624D"/>
    <w:rsid w:val="009668EE"/>
    <w:rsid w:val="00966E69"/>
    <w:rsid w:val="00971DA5"/>
    <w:rsid w:val="0097363C"/>
    <w:rsid w:val="00973C5B"/>
    <w:rsid w:val="009745AC"/>
    <w:rsid w:val="00974BAF"/>
    <w:rsid w:val="009758CB"/>
    <w:rsid w:val="00976065"/>
    <w:rsid w:val="00976A17"/>
    <w:rsid w:val="009824E1"/>
    <w:rsid w:val="00982AAF"/>
    <w:rsid w:val="00982FFD"/>
    <w:rsid w:val="00983574"/>
    <w:rsid w:val="0098402D"/>
    <w:rsid w:val="00984644"/>
    <w:rsid w:val="00984E44"/>
    <w:rsid w:val="00985032"/>
    <w:rsid w:val="00985614"/>
    <w:rsid w:val="0098686A"/>
    <w:rsid w:val="00987E03"/>
    <w:rsid w:val="00990323"/>
    <w:rsid w:val="00990ABF"/>
    <w:rsid w:val="00990CFE"/>
    <w:rsid w:val="00991A0A"/>
    <w:rsid w:val="009923E9"/>
    <w:rsid w:val="00992F12"/>
    <w:rsid w:val="0099425A"/>
    <w:rsid w:val="009955AF"/>
    <w:rsid w:val="00995B4B"/>
    <w:rsid w:val="009966A1"/>
    <w:rsid w:val="009966C5"/>
    <w:rsid w:val="009966F0"/>
    <w:rsid w:val="009968EF"/>
    <w:rsid w:val="0099744A"/>
    <w:rsid w:val="009A1278"/>
    <w:rsid w:val="009A1310"/>
    <w:rsid w:val="009A162C"/>
    <w:rsid w:val="009A210F"/>
    <w:rsid w:val="009A2DBC"/>
    <w:rsid w:val="009A5D0B"/>
    <w:rsid w:val="009A6737"/>
    <w:rsid w:val="009A6F22"/>
    <w:rsid w:val="009A709A"/>
    <w:rsid w:val="009A7BD2"/>
    <w:rsid w:val="009A7F84"/>
    <w:rsid w:val="009B061A"/>
    <w:rsid w:val="009B109D"/>
    <w:rsid w:val="009B1329"/>
    <w:rsid w:val="009B2852"/>
    <w:rsid w:val="009B3CBC"/>
    <w:rsid w:val="009B4CA8"/>
    <w:rsid w:val="009B4D2E"/>
    <w:rsid w:val="009B53FA"/>
    <w:rsid w:val="009B61F8"/>
    <w:rsid w:val="009B6EE9"/>
    <w:rsid w:val="009B74BE"/>
    <w:rsid w:val="009B77B6"/>
    <w:rsid w:val="009C0A6F"/>
    <w:rsid w:val="009C187F"/>
    <w:rsid w:val="009C2BC6"/>
    <w:rsid w:val="009C2C85"/>
    <w:rsid w:val="009C324D"/>
    <w:rsid w:val="009C4648"/>
    <w:rsid w:val="009C535D"/>
    <w:rsid w:val="009C5725"/>
    <w:rsid w:val="009C57F9"/>
    <w:rsid w:val="009C59C8"/>
    <w:rsid w:val="009C62DA"/>
    <w:rsid w:val="009C794A"/>
    <w:rsid w:val="009C7DB5"/>
    <w:rsid w:val="009D0D54"/>
    <w:rsid w:val="009D0F33"/>
    <w:rsid w:val="009D45E7"/>
    <w:rsid w:val="009D4929"/>
    <w:rsid w:val="009D5A29"/>
    <w:rsid w:val="009D735D"/>
    <w:rsid w:val="009D7872"/>
    <w:rsid w:val="009E0223"/>
    <w:rsid w:val="009E03C4"/>
    <w:rsid w:val="009E157A"/>
    <w:rsid w:val="009E178C"/>
    <w:rsid w:val="009E54A3"/>
    <w:rsid w:val="009E5542"/>
    <w:rsid w:val="009E66B2"/>
    <w:rsid w:val="009E768D"/>
    <w:rsid w:val="009F07D5"/>
    <w:rsid w:val="009F0FA4"/>
    <w:rsid w:val="009F1552"/>
    <w:rsid w:val="009F229F"/>
    <w:rsid w:val="009F30BF"/>
    <w:rsid w:val="009F3B61"/>
    <w:rsid w:val="009F41AD"/>
    <w:rsid w:val="009F5CA0"/>
    <w:rsid w:val="009F6182"/>
    <w:rsid w:val="009F64E6"/>
    <w:rsid w:val="009F7FC3"/>
    <w:rsid w:val="00A009E5"/>
    <w:rsid w:val="00A00E41"/>
    <w:rsid w:val="00A010AD"/>
    <w:rsid w:val="00A01291"/>
    <w:rsid w:val="00A018C0"/>
    <w:rsid w:val="00A01AFE"/>
    <w:rsid w:val="00A025FC"/>
    <w:rsid w:val="00A0447A"/>
    <w:rsid w:val="00A05037"/>
    <w:rsid w:val="00A05255"/>
    <w:rsid w:val="00A05EA1"/>
    <w:rsid w:val="00A06CB8"/>
    <w:rsid w:val="00A06EDC"/>
    <w:rsid w:val="00A0713B"/>
    <w:rsid w:val="00A0730C"/>
    <w:rsid w:val="00A0759E"/>
    <w:rsid w:val="00A079BF"/>
    <w:rsid w:val="00A104AF"/>
    <w:rsid w:val="00A10BCD"/>
    <w:rsid w:val="00A10C6B"/>
    <w:rsid w:val="00A115B3"/>
    <w:rsid w:val="00A11F88"/>
    <w:rsid w:val="00A12B1D"/>
    <w:rsid w:val="00A1431C"/>
    <w:rsid w:val="00A14D83"/>
    <w:rsid w:val="00A15534"/>
    <w:rsid w:val="00A1635C"/>
    <w:rsid w:val="00A1749F"/>
    <w:rsid w:val="00A17B67"/>
    <w:rsid w:val="00A17FA4"/>
    <w:rsid w:val="00A200A6"/>
    <w:rsid w:val="00A21CF8"/>
    <w:rsid w:val="00A22979"/>
    <w:rsid w:val="00A22DF5"/>
    <w:rsid w:val="00A25FEA"/>
    <w:rsid w:val="00A26D21"/>
    <w:rsid w:val="00A27360"/>
    <w:rsid w:val="00A27632"/>
    <w:rsid w:val="00A27720"/>
    <w:rsid w:val="00A27F1E"/>
    <w:rsid w:val="00A303B1"/>
    <w:rsid w:val="00A30D36"/>
    <w:rsid w:val="00A30FAF"/>
    <w:rsid w:val="00A311E0"/>
    <w:rsid w:val="00A33855"/>
    <w:rsid w:val="00A34074"/>
    <w:rsid w:val="00A35B45"/>
    <w:rsid w:val="00A37392"/>
    <w:rsid w:val="00A3747C"/>
    <w:rsid w:val="00A37E19"/>
    <w:rsid w:val="00A4168D"/>
    <w:rsid w:val="00A41718"/>
    <w:rsid w:val="00A41902"/>
    <w:rsid w:val="00A42AE9"/>
    <w:rsid w:val="00A455B3"/>
    <w:rsid w:val="00A45940"/>
    <w:rsid w:val="00A45947"/>
    <w:rsid w:val="00A46075"/>
    <w:rsid w:val="00A4640C"/>
    <w:rsid w:val="00A469B8"/>
    <w:rsid w:val="00A46C38"/>
    <w:rsid w:val="00A473B2"/>
    <w:rsid w:val="00A50434"/>
    <w:rsid w:val="00A50792"/>
    <w:rsid w:val="00A51E86"/>
    <w:rsid w:val="00A51F8B"/>
    <w:rsid w:val="00A52462"/>
    <w:rsid w:val="00A52FD5"/>
    <w:rsid w:val="00A539DB"/>
    <w:rsid w:val="00A54813"/>
    <w:rsid w:val="00A60162"/>
    <w:rsid w:val="00A60CC0"/>
    <w:rsid w:val="00A61245"/>
    <w:rsid w:val="00A614B7"/>
    <w:rsid w:val="00A6232B"/>
    <w:rsid w:val="00A627FC"/>
    <w:rsid w:val="00A64358"/>
    <w:rsid w:val="00A64E73"/>
    <w:rsid w:val="00A6510F"/>
    <w:rsid w:val="00A678AD"/>
    <w:rsid w:val="00A709A5"/>
    <w:rsid w:val="00A721A3"/>
    <w:rsid w:val="00A723E7"/>
    <w:rsid w:val="00A726E1"/>
    <w:rsid w:val="00A728AF"/>
    <w:rsid w:val="00A72D09"/>
    <w:rsid w:val="00A7495B"/>
    <w:rsid w:val="00A75752"/>
    <w:rsid w:val="00A77890"/>
    <w:rsid w:val="00A80DA3"/>
    <w:rsid w:val="00A822CD"/>
    <w:rsid w:val="00A8297C"/>
    <w:rsid w:val="00A83A40"/>
    <w:rsid w:val="00A83C26"/>
    <w:rsid w:val="00A8453B"/>
    <w:rsid w:val="00A85356"/>
    <w:rsid w:val="00A8565F"/>
    <w:rsid w:val="00A85E21"/>
    <w:rsid w:val="00A864AE"/>
    <w:rsid w:val="00A8758E"/>
    <w:rsid w:val="00A91274"/>
    <w:rsid w:val="00A91399"/>
    <w:rsid w:val="00A91D00"/>
    <w:rsid w:val="00A91E17"/>
    <w:rsid w:val="00A94532"/>
    <w:rsid w:val="00A94CE2"/>
    <w:rsid w:val="00A94DB5"/>
    <w:rsid w:val="00A95ADF"/>
    <w:rsid w:val="00A96423"/>
    <w:rsid w:val="00A96A6B"/>
    <w:rsid w:val="00A97008"/>
    <w:rsid w:val="00AA0A4A"/>
    <w:rsid w:val="00AA1138"/>
    <w:rsid w:val="00AA1AD3"/>
    <w:rsid w:val="00AA1E25"/>
    <w:rsid w:val="00AA1F5E"/>
    <w:rsid w:val="00AA2144"/>
    <w:rsid w:val="00AA2D6A"/>
    <w:rsid w:val="00AA3B85"/>
    <w:rsid w:val="00AA54ED"/>
    <w:rsid w:val="00AA7537"/>
    <w:rsid w:val="00AA763B"/>
    <w:rsid w:val="00AA79C5"/>
    <w:rsid w:val="00AB0253"/>
    <w:rsid w:val="00AB0E42"/>
    <w:rsid w:val="00AB1CDE"/>
    <w:rsid w:val="00AB3AFD"/>
    <w:rsid w:val="00AB4EA1"/>
    <w:rsid w:val="00AB5164"/>
    <w:rsid w:val="00AB74DC"/>
    <w:rsid w:val="00AB75F3"/>
    <w:rsid w:val="00AC0617"/>
    <w:rsid w:val="00AC0DF7"/>
    <w:rsid w:val="00AC18F6"/>
    <w:rsid w:val="00AC2B2B"/>
    <w:rsid w:val="00AC3D3F"/>
    <w:rsid w:val="00AC3FC5"/>
    <w:rsid w:val="00AC4218"/>
    <w:rsid w:val="00AC4E44"/>
    <w:rsid w:val="00AC64B8"/>
    <w:rsid w:val="00AC77B0"/>
    <w:rsid w:val="00AC79EE"/>
    <w:rsid w:val="00AD268E"/>
    <w:rsid w:val="00AD2AC3"/>
    <w:rsid w:val="00AD3A93"/>
    <w:rsid w:val="00AD3C08"/>
    <w:rsid w:val="00AD3FB4"/>
    <w:rsid w:val="00AD5014"/>
    <w:rsid w:val="00AD578D"/>
    <w:rsid w:val="00AD5FB4"/>
    <w:rsid w:val="00AD6077"/>
    <w:rsid w:val="00AD60CC"/>
    <w:rsid w:val="00AD74D8"/>
    <w:rsid w:val="00AD7553"/>
    <w:rsid w:val="00AD779E"/>
    <w:rsid w:val="00AD7ECF"/>
    <w:rsid w:val="00AE0E23"/>
    <w:rsid w:val="00AE162F"/>
    <w:rsid w:val="00AE27AA"/>
    <w:rsid w:val="00AE36CE"/>
    <w:rsid w:val="00AE4B0F"/>
    <w:rsid w:val="00AE542F"/>
    <w:rsid w:val="00AE5ABB"/>
    <w:rsid w:val="00AE5E07"/>
    <w:rsid w:val="00AE5F24"/>
    <w:rsid w:val="00AE62FD"/>
    <w:rsid w:val="00AF00F2"/>
    <w:rsid w:val="00AF0673"/>
    <w:rsid w:val="00AF0C4C"/>
    <w:rsid w:val="00AF120C"/>
    <w:rsid w:val="00AF1701"/>
    <w:rsid w:val="00AF25A7"/>
    <w:rsid w:val="00AF3486"/>
    <w:rsid w:val="00AF4629"/>
    <w:rsid w:val="00AF4AAE"/>
    <w:rsid w:val="00AF4AD0"/>
    <w:rsid w:val="00AF51FF"/>
    <w:rsid w:val="00AF521C"/>
    <w:rsid w:val="00AF68B4"/>
    <w:rsid w:val="00B0010B"/>
    <w:rsid w:val="00B034B8"/>
    <w:rsid w:val="00B04F2A"/>
    <w:rsid w:val="00B04F5D"/>
    <w:rsid w:val="00B0527E"/>
    <w:rsid w:val="00B05F75"/>
    <w:rsid w:val="00B07472"/>
    <w:rsid w:val="00B1078A"/>
    <w:rsid w:val="00B10F65"/>
    <w:rsid w:val="00B11DC5"/>
    <w:rsid w:val="00B12463"/>
    <w:rsid w:val="00B124CD"/>
    <w:rsid w:val="00B1314C"/>
    <w:rsid w:val="00B139A3"/>
    <w:rsid w:val="00B1518B"/>
    <w:rsid w:val="00B16A35"/>
    <w:rsid w:val="00B17666"/>
    <w:rsid w:val="00B177D8"/>
    <w:rsid w:val="00B17E43"/>
    <w:rsid w:val="00B2083E"/>
    <w:rsid w:val="00B20A69"/>
    <w:rsid w:val="00B20F9A"/>
    <w:rsid w:val="00B2179C"/>
    <w:rsid w:val="00B21B31"/>
    <w:rsid w:val="00B21FD3"/>
    <w:rsid w:val="00B228BE"/>
    <w:rsid w:val="00B22BB9"/>
    <w:rsid w:val="00B22F6B"/>
    <w:rsid w:val="00B23B0A"/>
    <w:rsid w:val="00B23E9E"/>
    <w:rsid w:val="00B24685"/>
    <w:rsid w:val="00B25309"/>
    <w:rsid w:val="00B2612D"/>
    <w:rsid w:val="00B26490"/>
    <w:rsid w:val="00B27A11"/>
    <w:rsid w:val="00B31BEA"/>
    <w:rsid w:val="00B32082"/>
    <w:rsid w:val="00B3238A"/>
    <w:rsid w:val="00B3292F"/>
    <w:rsid w:val="00B33992"/>
    <w:rsid w:val="00B34465"/>
    <w:rsid w:val="00B34B2D"/>
    <w:rsid w:val="00B35306"/>
    <w:rsid w:val="00B3635E"/>
    <w:rsid w:val="00B4067D"/>
    <w:rsid w:val="00B407EF"/>
    <w:rsid w:val="00B41EE9"/>
    <w:rsid w:val="00B431A3"/>
    <w:rsid w:val="00B433D3"/>
    <w:rsid w:val="00B45196"/>
    <w:rsid w:val="00B45444"/>
    <w:rsid w:val="00B458CA"/>
    <w:rsid w:val="00B46A9E"/>
    <w:rsid w:val="00B47722"/>
    <w:rsid w:val="00B47BE6"/>
    <w:rsid w:val="00B47EFF"/>
    <w:rsid w:val="00B51381"/>
    <w:rsid w:val="00B51DC7"/>
    <w:rsid w:val="00B52397"/>
    <w:rsid w:val="00B53796"/>
    <w:rsid w:val="00B53956"/>
    <w:rsid w:val="00B54890"/>
    <w:rsid w:val="00B55ADD"/>
    <w:rsid w:val="00B55C9D"/>
    <w:rsid w:val="00B5616F"/>
    <w:rsid w:val="00B5675E"/>
    <w:rsid w:val="00B57A22"/>
    <w:rsid w:val="00B57A6C"/>
    <w:rsid w:val="00B57FC2"/>
    <w:rsid w:val="00B605D5"/>
    <w:rsid w:val="00B61528"/>
    <w:rsid w:val="00B62503"/>
    <w:rsid w:val="00B62F66"/>
    <w:rsid w:val="00B639C9"/>
    <w:rsid w:val="00B63CF6"/>
    <w:rsid w:val="00B63F29"/>
    <w:rsid w:val="00B648B8"/>
    <w:rsid w:val="00B64A28"/>
    <w:rsid w:val="00B66968"/>
    <w:rsid w:val="00B67407"/>
    <w:rsid w:val="00B676A6"/>
    <w:rsid w:val="00B7001D"/>
    <w:rsid w:val="00B70CB5"/>
    <w:rsid w:val="00B71B5D"/>
    <w:rsid w:val="00B72059"/>
    <w:rsid w:val="00B725FB"/>
    <w:rsid w:val="00B73533"/>
    <w:rsid w:val="00B7492F"/>
    <w:rsid w:val="00B75B85"/>
    <w:rsid w:val="00B7622B"/>
    <w:rsid w:val="00B76932"/>
    <w:rsid w:val="00B7726D"/>
    <w:rsid w:val="00B77F17"/>
    <w:rsid w:val="00B80D82"/>
    <w:rsid w:val="00B81F09"/>
    <w:rsid w:val="00B824A3"/>
    <w:rsid w:val="00B82619"/>
    <w:rsid w:val="00B8262E"/>
    <w:rsid w:val="00B834C2"/>
    <w:rsid w:val="00B8442C"/>
    <w:rsid w:val="00B844A3"/>
    <w:rsid w:val="00B848BE"/>
    <w:rsid w:val="00B84902"/>
    <w:rsid w:val="00B84DBF"/>
    <w:rsid w:val="00B8696E"/>
    <w:rsid w:val="00B87084"/>
    <w:rsid w:val="00B91875"/>
    <w:rsid w:val="00B92669"/>
    <w:rsid w:val="00B928EE"/>
    <w:rsid w:val="00B92A6E"/>
    <w:rsid w:val="00B938E8"/>
    <w:rsid w:val="00B93AE3"/>
    <w:rsid w:val="00B942F4"/>
    <w:rsid w:val="00B94B6F"/>
    <w:rsid w:val="00B94BBB"/>
    <w:rsid w:val="00B94D3F"/>
    <w:rsid w:val="00B959EA"/>
    <w:rsid w:val="00B95D26"/>
    <w:rsid w:val="00B960DC"/>
    <w:rsid w:val="00B9791D"/>
    <w:rsid w:val="00BA1F81"/>
    <w:rsid w:val="00BA20ED"/>
    <w:rsid w:val="00BA2AC6"/>
    <w:rsid w:val="00BA2B32"/>
    <w:rsid w:val="00BA43A5"/>
    <w:rsid w:val="00BA5E9A"/>
    <w:rsid w:val="00BA78BB"/>
    <w:rsid w:val="00BA7996"/>
    <w:rsid w:val="00BB0497"/>
    <w:rsid w:val="00BB091C"/>
    <w:rsid w:val="00BB0DEB"/>
    <w:rsid w:val="00BB1DF3"/>
    <w:rsid w:val="00BB1E0B"/>
    <w:rsid w:val="00BB44C5"/>
    <w:rsid w:val="00BB46E3"/>
    <w:rsid w:val="00BB4EF8"/>
    <w:rsid w:val="00BB5C82"/>
    <w:rsid w:val="00BB5EF7"/>
    <w:rsid w:val="00BB62AF"/>
    <w:rsid w:val="00BB709E"/>
    <w:rsid w:val="00BB7DEE"/>
    <w:rsid w:val="00BB7EA4"/>
    <w:rsid w:val="00BC1655"/>
    <w:rsid w:val="00BC18D1"/>
    <w:rsid w:val="00BC4589"/>
    <w:rsid w:val="00BC4A78"/>
    <w:rsid w:val="00BC54EE"/>
    <w:rsid w:val="00BC6189"/>
    <w:rsid w:val="00BC6423"/>
    <w:rsid w:val="00BC694E"/>
    <w:rsid w:val="00BC73A5"/>
    <w:rsid w:val="00BC7A13"/>
    <w:rsid w:val="00BD0311"/>
    <w:rsid w:val="00BD0C56"/>
    <w:rsid w:val="00BD123F"/>
    <w:rsid w:val="00BD1B27"/>
    <w:rsid w:val="00BD1BC1"/>
    <w:rsid w:val="00BD1EFB"/>
    <w:rsid w:val="00BD22F8"/>
    <w:rsid w:val="00BD26F0"/>
    <w:rsid w:val="00BD3100"/>
    <w:rsid w:val="00BD32F8"/>
    <w:rsid w:val="00BD3380"/>
    <w:rsid w:val="00BD3602"/>
    <w:rsid w:val="00BD51C9"/>
    <w:rsid w:val="00BD5510"/>
    <w:rsid w:val="00BD6398"/>
    <w:rsid w:val="00BD7628"/>
    <w:rsid w:val="00BD7B11"/>
    <w:rsid w:val="00BE08B2"/>
    <w:rsid w:val="00BE0C37"/>
    <w:rsid w:val="00BE12EB"/>
    <w:rsid w:val="00BE187E"/>
    <w:rsid w:val="00BE1B14"/>
    <w:rsid w:val="00BE2F5B"/>
    <w:rsid w:val="00BE4783"/>
    <w:rsid w:val="00BE49D0"/>
    <w:rsid w:val="00BE4B2A"/>
    <w:rsid w:val="00BE5506"/>
    <w:rsid w:val="00BE5762"/>
    <w:rsid w:val="00BE7F2B"/>
    <w:rsid w:val="00BF13B4"/>
    <w:rsid w:val="00BF1F90"/>
    <w:rsid w:val="00BF2A5D"/>
    <w:rsid w:val="00BF516C"/>
    <w:rsid w:val="00BF523C"/>
    <w:rsid w:val="00BF567B"/>
    <w:rsid w:val="00BF5824"/>
    <w:rsid w:val="00BF5FEE"/>
    <w:rsid w:val="00BF696B"/>
    <w:rsid w:val="00BF7229"/>
    <w:rsid w:val="00BF77A2"/>
    <w:rsid w:val="00C0002E"/>
    <w:rsid w:val="00C004FD"/>
    <w:rsid w:val="00C02E58"/>
    <w:rsid w:val="00C031E7"/>
    <w:rsid w:val="00C03E99"/>
    <w:rsid w:val="00C04E64"/>
    <w:rsid w:val="00C0586D"/>
    <w:rsid w:val="00C100E3"/>
    <w:rsid w:val="00C11748"/>
    <w:rsid w:val="00C12443"/>
    <w:rsid w:val="00C134CB"/>
    <w:rsid w:val="00C13CAE"/>
    <w:rsid w:val="00C15F8B"/>
    <w:rsid w:val="00C160ED"/>
    <w:rsid w:val="00C160FB"/>
    <w:rsid w:val="00C16D5E"/>
    <w:rsid w:val="00C17135"/>
    <w:rsid w:val="00C20072"/>
    <w:rsid w:val="00C2319C"/>
    <w:rsid w:val="00C23316"/>
    <w:rsid w:val="00C23C1F"/>
    <w:rsid w:val="00C242CC"/>
    <w:rsid w:val="00C244C7"/>
    <w:rsid w:val="00C247F3"/>
    <w:rsid w:val="00C251AD"/>
    <w:rsid w:val="00C254E1"/>
    <w:rsid w:val="00C2607B"/>
    <w:rsid w:val="00C26C61"/>
    <w:rsid w:val="00C30DA2"/>
    <w:rsid w:val="00C31E3B"/>
    <w:rsid w:val="00C32349"/>
    <w:rsid w:val="00C3393F"/>
    <w:rsid w:val="00C33AC8"/>
    <w:rsid w:val="00C345E8"/>
    <w:rsid w:val="00C34654"/>
    <w:rsid w:val="00C34EB4"/>
    <w:rsid w:val="00C34F48"/>
    <w:rsid w:val="00C354EC"/>
    <w:rsid w:val="00C360E5"/>
    <w:rsid w:val="00C37529"/>
    <w:rsid w:val="00C37BF0"/>
    <w:rsid w:val="00C41077"/>
    <w:rsid w:val="00C424B5"/>
    <w:rsid w:val="00C428B1"/>
    <w:rsid w:val="00C42DFC"/>
    <w:rsid w:val="00C4367C"/>
    <w:rsid w:val="00C437CB"/>
    <w:rsid w:val="00C445D9"/>
    <w:rsid w:val="00C461C2"/>
    <w:rsid w:val="00C4789C"/>
    <w:rsid w:val="00C47E88"/>
    <w:rsid w:val="00C50D3B"/>
    <w:rsid w:val="00C50E38"/>
    <w:rsid w:val="00C50E7D"/>
    <w:rsid w:val="00C514B0"/>
    <w:rsid w:val="00C51C84"/>
    <w:rsid w:val="00C52AB0"/>
    <w:rsid w:val="00C53271"/>
    <w:rsid w:val="00C54DE8"/>
    <w:rsid w:val="00C557B4"/>
    <w:rsid w:val="00C60427"/>
    <w:rsid w:val="00C60FE5"/>
    <w:rsid w:val="00C6117C"/>
    <w:rsid w:val="00C627FE"/>
    <w:rsid w:val="00C63336"/>
    <w:rsid w:val="00C657BE"/>
    <w:rsid w:val="00C6583E"/>
    <w:rsid w:val="00C65D28"/>
    <w:rsid w:val="00C66AE5"/>
    <w:rsid w:val="00C67E63"/>
    <w:rsid w:val="00C71E5A"/>
    <w:rsid w:val="00C7207F"/>
    <w:rsid w:val="00C7293F"/>
    <w:rsid w:val="00C74B8B"/>
    <w:rsid w:val="00C750B8"/>
    <w:rsid w:val="00C76616"/>
    <w:rsid w:val="00C76CC8"/>
    <w:rsid w:val="00C77A4E"/>
    <w:rsid w:val="00C77AC7"/>
    <w:rsid w:val="00C823F8"/>
    <w:rsid w:val="00C8369B"/>
    <w:rsid w:val="00C8445D"/>
    <w:rsid w:val="00C84FDF"/>
    <w:rsid w:val="00C850EE"/>
    <w:rsid w:val="00C861A3"/>
    <w:rsid w:val="00C905CD"/>
    <w:rsid w:val="00C90FF5"/>
    <w:rsid w:val="00C91E8D"/>
    <w:rsid w:val="00C923F6"/>
    <w:rsid w:val="00C93BB6"/>
    <w:rsid w:val="00C93D71"/>
    <w:rsid w:val="00C95CBF"/>
    <w:rsid w:val="00C96217"/>
    <w:rsid w:val="00C979BA"/>
    <w:rsid w:val="00CA1241"/>
    <w:rsid w:val="00CA17C2"/>
    <w:rsid w:val="00CA2027"/>
    <w:rsid w:val="00CA282F"/>
    <w:rsid w:val="00CA3E8B"/>
    <w:rsid w:val="00CA4F1C"/>
    <w:rsid w:val="00CA5256"/>
    <w:rsid w:val="00CA57E1"/>
    <w:rsid w:val="00CA58CC"/>
    <w:rsid w:val="00CA5B4A"/>
    <w:rsid w:val="00CA6349"/>
    <w:rsid w:val="00CA6BF2"/>
    <w:rsid w:val="00CA6E05"/>
    <w:rsid w:val="00CA7E9D"/>
    <w:rsid w:val="00CB0C01"/>
    <w:rsid w:val="00CB27D3"/>
    <w:rsid w:val="00CB2C19"/>
    <w:rsid w:val="00CB2FC5"/>
    <w:rsid w:val="00CB34AB"/>
    <w:rsid w:val="00CB54AA"/>
    <w:rsid w:val="00CB56E7"/>
    <w:rsid w:val="00CB574F"/>
    <w:rsid w:val="00CB5988"/>
    <w:rsid w:val="00CB5ADB"/>
    <w:rsid w:val="00CB6041"/>
    <w:rsid w:val="00CB6FA5"/>
    <w:rsid w:val="00CC1A10"/>
    <w:rsid w:val="00CC1D44"/>
    <w:rsid w:val="00CC243A"/>
    <w:rsid w:val="00CC3329"/>
    <w:rsid w:val="00CC3895"/>
    <w:rsid w:val="00CC4FFE"/>
    <w:rsid w:val="00CC53E2"/>
    <w:rsid w:val="00CC62AA"/>
    <w:rsid w:val="00CC6537"/>
    <w:rsid w:val="00CC66BA"/>
    <w:rsid w:val="00CC67E6"/>
    <w:rsid w:val="00CC724B"/>
    <w:rsid w:val="00CC73BC"/>
    <w:rsid w:val="00CC7AB4"/>
    <w:rsid w:val="00CC7F7E"/>
    <w:rsid w:val="00CD11F5"/>
    <w:rsid w:val="00CD12E8"/>
    <w:rsid w:val="00CD1420"/>
    <w:rsid w:val="00CD190D"/>
    <w:rsid w:val="00CD47C0"/>
    <w:rsid w:val="00CD4EF5"/>
    <w:rsid w:val="00CD4F0B"/>
    <w:rsid w:val="00CD5F28"/>
    <w:rsid w:val="00CD6638"/>
    <w:rsid w:val="00CD6D27"/>
    <w:rsid w:val="00CD7213"/>
    <w:rsid w:val="00CD7747"/>
    <w:rsid w:val="00CD7B67"/>
    <w:rsid w:val="00CE0862"/>
    <w:rsid w:val="00CE0DB4"/>
    <w:rsid w:val="00CE10FD"/>
    <w:rsid w:val="00CE12CB"/>
    <w:rsid w:val="00CE1B3E"/>
    <w:rsid w:val="00CE2691"/>
    <w:rsid w:val="00CE26FE"/>
    <w:rsid w:val="00CE2738"/>
    <w:rsid w:val="00CE2FC1"/>
    <w:rsid w:val="00CE3D3E"/>
    <w:rsid w:val="00CE45A9"/>
    <w:rsid w:val="00CE4672"/>
    <w:rsid w:val="00CE4CCE"/>
    <w:rsid w:val="00CE55B5"/>
    <w:rsid w:val="00CE59D6"/>
    <w:rsid w:val="00CE6D51"/>
    <w:rsid w:val="00CE7A98"/>
    <w:rsid w:val="00CF07AD"/>
    <w:rsid w:val="00CF0B73"/>
    <w:rsid w:val="00CF0BE0"/>
    <w:rsid w:val="00CF2C3B"/>
    <w:rsid w:val="00CF326D"/>
    <w:rsid w:val="00CF3985"/>
    <w:rsid w:val="00CF417E"/>
    <w:rsid w:val="00CF42AB"/>
    <w:rsid w:val="00CF456E"/>
    <w:rsid w:val="00CF46AB"/>
    <w:rsid w:val="00CF6CA7"/>
    <w:rsid w:val="00CF766F"/>
    <w:rsid w:val="00CF775A"/>
    <w:rsid w:val="00CF7C45"/>
    <w:rsid w:val="00D00795"/>
    <w:rsid w:val="00D011D5"/>
    <w:rsid w:val="00D0140E"/>
    <w:rsid w:val="00D02437"/>
    <w:rsid w:val="00D0295E"/>
    <w:rsid w:val="00D02CB1"/>
    <w:rsid w:val="00D0314D"/>
    <w:rsid w:val="00D03791"/>
    <w:rsid w:val="00D03951"/>
    <w:rsid w:val="00D03955"/>
    <w:rsid w:val="00D04472"/>
    <w:rsid w:val="00D04DF3"/>
    <w:rsid w:val="00D069DB"/>
    <w:rsid w:val="00D07985"/>
    <w:rsid w:val="00D103A6"/>
    <w:rsid w:val="00D108B3"/>
    <w:rsid w:val="00D10F80"/>
    <w:rsid w:val="00D118FE"/>
    <w:rsid w:val="00D11FC7"/>
    <w:rsid w:val="00D131CE"/>
    <w:rsid w:val="00D13424"/>
    <w:rsid w:val="00D143E9"/>
    <w:rsid w:val="00D144F4"/>
    <w:rsid w:val="00D14B9C"/>
    <w:rsid w:val="00D155A4"/>
    <w:rsid w:val="00D16BA3"/>
    <w:rsid w:val="00D20921"/>
    <w:rsid w:val="00D21038"/>
    <w:rsid w:val="00D2232F"/>
    <w:rsid w:val="00D2262B"/>
    <w:rsid w:val="00D232BF"/>
    <w:rsid w:val="00D2352B"/>
    <w:rsid w:val="00D236BB"/>
    <w:rsid w:val="00D24333"/>
    <w:rsid w:val="00D24597"/>
    <w:rsid w:val="00D24C4A"/>
    <w:rsid w:val="00D258D4"/>
    <w:rsid w:val="00D25D1A"/>
    <w:rsid w:val="00D26F3D"/>
    <w:rsid w:val="00D27C70"/>
    <w:rsid w:val="00D30379"/>
    <w:rsid w:val="00D30FB9"/>
    <w:rsid w:val="00D33EF7"/>
    <w:rsid w:val="00D34920"/>
    <w:rsid w:val="00D3558A"/>
    <w:rsid w:val="00D35D3C"/>
    <w:rsid w:val="00D35ED9"/>
    <w:rsid w:val="00D366FA"/>
    <w:rsid w:val="00D36980"/>
    <w:rsid w:val="00D36C84"/>
    <w:rsid w:val="00D36EF9"/>
    <w:rsid w:val="00D37EC5"/>
    <w:rsid w:val="00D411AF"/>
    <w:rsid w:val="00D41435"/>
    <w:rsid w:val="00D423CE"/>
    <w:rsid w:val="00D4362E"/>
    <w:rsid w:val="00D4364C"/>
    <w:rsid w:val="00D43A45"/>
    <w:rsid w:val="00D459B9"/>
    <w:rsid w:val="00D46B0A"/>
    <w:rsid w:val="00D46D84"/>
    <w:rsid w:val="00D50FE0"/>
    <w:rsid w:val="00D51B15"/>
    <w:rsid w:val="00D52852"/>
    <w:rsid w:val="00D52CB4"/>
    <w:rsid w:val="00D53761"/>
    <w:rsid w:val="00D53B57"/>
    <w:rsid w:val="00D53EB1"/>
    <w:rsid w:val="00D54B62"/>
    <w:rsid w:val="00D55B73"/>
    <w:rsid w:val="00D55EF9"/>
    <w:rsid w:val="00D57A5A"/>
    <w:rsid w:val="00D57E74"/>
    <w:rsid w:val="00D60A1F"/>
    <w:rsid w:val="00D61213"/>
    <w:rsid w:val="00D6137D"/>
    <w:rsid w:val="00D6277A"/>
    <w:rsid w:val="00D62FC1"/>
    <w:rsid w:val="00D63ACC"/>
    <w:rsid w:val="00D656EC"/>
    <w:rsid w:val="00D6598A"/>
    <w:rsid w:val="00D66CB8"/>
    <w:rsid w:val="00D66EA9"/>
    <w:rsid w:val="00D709DC"/>
    <w:rsid w:val="00D71533"/>
    <w:rsid w:val="00D719E8"/>
    <w:rsid w:val="00D72FD2"/>
    <w:rsid w:val="00D732F0"/>
    <w:rsid w:val="00D7382A"/>
    <w:rsid w:val="00D76063"/>
    <w:rsid w:val="00D76617"/>
    <w:rsid w:val="00D76A35"/>
    <w:rsid w:val="00D77232"/>
    <w:rsid w:val="00D80299"/>
    <w:rsid w:val="00D80D40"/>
    <w:rsid w:val="00D81F39"/>
    <w:rsid w:val="00D82043"/>
    <w:rsid w:val="00D827BA"/>
    <w:rsid w:val="00D8367A"/>
    <w:rsid w:val="00D84BCE"/>
    <w:rsid w:val="00D858F3"/>
    <w:rsid w:val="00D867A6"/>
    <w:rsid w:val="00D9006F"/>
    <w:rsid w:val="00D90070"/>
    <w:rsid w:val="00D91895"/>
    <w:rsid w:val="00D936AB"/>
    <w:rsid w:val="00D9386B"/>
    <w:rsid w:val="00D95AE7"/>
    <w:rsid w:val="00D978F9"/>
    <w:rsid w:val="00D97B97"/>
    <w:rsid w:val="00D97EA6"/>
    <w:rsid w:val="00D97FC6"/>
    <w:rsid w:val="00DA0994"/>
    <w:rsid w:val="00DA09CF"/>
    <w:rsid w:val="00DA0F0D"/>
    <w:rsid w:val="00DA1BB9"/>
    <w:rsid w:val="00DA224B"/>
    <w:rsid w:val="00DA24C2"/>
    <w:rsid w:val="00DA2B41"/>
    <w:rsid w:val="00DA35AE"/>
    <w:rsid w:val="00DA3709"/>
    <w:rsid w:val="00DA4A5D"/>
    <w:rsid w:val="00DA71BA"/>
    <w:rsid w:val="00DA7604"/>
    <w:rsid w:val="00DA7DB9"/>
    <w:rsid w:val="00DB06EE"/>
    <w:rsid w:val="00DB0A50"/>
    <w:rsid w:val="00DB2146"/>
    <w:rsid w:val="00DB225A"/>
    <w:rsid w:val="00DB2DDB"/>
    <w:rsid w:val="00DB3329"/>
    <w:rsid w:val="00DB33BA"/>
    <w:rsid w:val="00DB3FA9"/>
    <w:rsid w:val="00DB4569"/>
    <w:rsid w:val="00DB4A78"/>
    <w:rsid w:val="00DB61A4"/>
    <w:rsid w:val="00DB6578"/>
    <w:rsid w:val="00DB6B11"/>
    <w:rsid w:val="00DB6B7F"/>
    <w:rsid w:val="00DC00A9"/>
    <w:rsid w:val="00DC1807"/>
    <w:rsid w:val="00DC2E4F"/>
    <w:rsid w:val="00DC64A9"/>
    <w:rsid w:val="00DC68E7"/>
    <w:rsid w:val="00DC7A3C"/>
    <w:rsid w:val="00DD0C37"/>
    <w:rsid w:val="00DD122C"/>
    <w:rsid w:val="00DD184F"/>
    <w:rsid w:val="00DD316E"/>
    <w:rsid w:val="00DD4AB9"/>
    <w:rsid w:val="00DD61B3"/>
    <w:rsid w:val="00DD662B"/>
    <w:rsid w:val="00DD68F0"/>
    <w:rsid w:val="00DD6F8E"/>
    <w:rsid w:val="00DD763B"/>
    <w:rsid w:val="00DD76BE"/>
    <w:rsid w:val="00DD7D34"/>
    <w:rsid w:val="00DE1145"/>
    <w:rsid w:val="00DE1F28"/>
    <w:rsid w:val="00DE2304"/>
    <w:rsid w:val="00DE2380"/>
    <w:rsid w:val="00DE30CA"/>
    <w:rsid w:val="00DE3D52"/>
    <w:rsid w:val="00DE454D"/>
    <w:rsid w:val="00DE4783"/>
    <w:rsid w:val="00DE49A8"/>
    <w:rsid w:val="00DE595E"/>
    <w:rsid w:val="00DE70E0"/>
    <w:rsid w:val="00DE79CB"/>
    <w:rsid w:val="00DF263D"/>
    <w:rsid w:val="00DF3851"/>
    <w:rsid w:val="00DF42DB"/>
    <w:rsid w:val="00DF54C6"/>
    <w:rsid w:val="00DF5F73"/>
    <w:rsid w:val="00DF6167"/>
    <w:rsid w:val="00DF71D9"/>
    <w:rsid w:val="00DF78E5"/>
    <w:rsid w:val="00E0119A"/>
    <w:rsid w:val="00E01EA4"/>
    <w:rsid w:val="00E020EF"/>
    <w:rsid w:val="00E02904"/>
    <w:rsid w:val="00E02F62"/>
    <w:rsid w:val="00E0373C"/>
    <w:rsid w:val="00E037C4"/>
    <w:rsid w:val="00E04144"/>
    <w:rsid w:val="00E05C59"/>
    <w:rsid w:val="00E05D37"/>
    <w:rsid w:val="00E07C02"/>
    <w:rsid w:val="00E07D47"/>
    <w:rsid w:val="00E10A17"/>
    <w:rsid w:val="00E112D8"/>
    <w:rsid w:val="00E12972"/>
    <w:rsid w:val="00E136A8"/>
    <w:rsid w:val="00E16B46"/>
    <w:rsid w:val="00E174E8"/>
    <w:rsid w:val="00E176CC"/>
    <w:rsid w:val="00E17D59"/>
    <w:rsid w:val="00E17E44"/>
    <w:rsid w:val="00E2048D"/>
    <w:rsid w:val="00E20A06"/>
    <w:rsid w:val="00E21570"/>
    <w:rsid w:val="00E22C13"/>
    <w:rsid w:val="00E25BAC"/>
    <w:rsid w:val="00E26821"/>
    <w:rsid w:val="00E26EA5"/>
    <w:rsid w:val="00E2720C"/>
    <w:rsid w:val="00E273A8"/>
    <w:rsid w:val="00E2747B"/>
    <w:rsid w:val="00E27AD4"/>
    <w:rsid w:val="00E31044"/>
    <w:rsid w:val="00E3180A"/>
    <w:rsid w:val="00E32A96"/>
    <w:rsid w:val="00E3497C"/>
    <w:rsid w:val="00E35395"/>
    <w:rsid w:val="00E362D8"/>
    <w:rsid w:val="00E363CA"/>
    <w:rsid w:val="00E371CC"/>
    <w:rsid w:val="00E3730A"/>
    <w:rsid w:val="00E37819"/>
    <w:rsid w:val="00E37A10"/>
    <w:rsid w:val="00E37DF3"/>
    <w:rsid w:val="00E40424"/>
    <w:rsid w:val="00E40C3E"/>
    <w:rsid w:val="00E41D62"/>
    <w:rsid w:val="00E429F0"/>
    <w:rsid w:val="00E42B1B"/>
    <w:rsid w:val="00E42E64"/>
    <w:rsid w:val="00E43334"/>
    <w:rsid w:val="00E443F1"/>
    <w:rsid w:val="00E44A07"/>
    <w:rsid w:val="00E45093"/>
    <w:rsid w:val="00E450BA"/>
    <w:rsid w:val="00E4586C"/>
    <w:rsid w:val="00E45AA0"/>
    <w:rsid w:val="00E504F6"/>
    <w:rsid w:val="00E505BA"/>
    <w:rsid w:val="00E50A65"/>
    <w:rsid w:val="00E50BFD"/>
    <w:rsid w:val="00E50C1D"/>
    <w:rsid w:val="00E5160E"/>
    <w:rsid w:val="00E51716"/>
    <w:rsid w:val="00E51FEE"/>
    <w:rsid w:val="00E5343F"/>
    <w:rsid w:val="00E53D8D"/>
    <w:rsid w:val="00E547ED"/>
    <w:rsid w:val="00E577CE"/>
    <w:rsid w:val="00E60748"/>
    <w:rsid w:val="00E60B91"/>
    <w:rsid w:val="00E614DC"/>
    <w:rsid w:val="00E61595"/>
    <w:rsid w:val="00E62363"/>
    <w:rsid w:val="00E623C5"/>
    <w:rsid w:val="00E62CBD"/>
    <w:rsid w:val="00E6393F"/>
    <w:rsid w:val="00E63BE8"/>
    <w:rsid w:val="00E64055"/>
    <w:rsid w:val="00E647C4"/>
    <w:rsid w:val="00E653F4"/>
    <w:rsid w:val="00E6543C"/>
    <w:rsid w:val="00E66D07"/>
    <w:rsid w:val="00E67A9F"/>
    <w:rsid w:val="00E710B5"/>
    <w:rsid w:val="00E7160E"/>
    <w:rsid w:val="00E71EB7"/>
    <w:rsid w:val="00E723D9"/>
    <w:rsid w:val="00E73426"/>
    <w:rsid w:val="00E739CE"/>
    <w:rsid w:val="00E74F0A"/>
    <w:rsid w:val="00E75457"/>
    <w:rsid w:val="00E759B9"/>
    <w:rsid w:val="00E76240"/>
    <w:rsid w:val="00E76432"/>
    <w:rsid w:val="00E76664"/>
    <w:rsid w:val="00E76B77"/>
    <w:rsid w:val="00E81873"/>
    <w:rsid w:val="00E81F04"/>
    <w:rsid w:val="00E84214"/>
    <w:rsid w:val="00E84ACD"/>
    <w:rsid w:val="00E84E09"/>
    <w:rsid w:val="00E8506C"/>
    <w:rsid w:val="00E858D1"/>
    <w:rsid w:val="00E85D93"/>
    <w:rsid w:val="00E85E4F"/>
    <w:rsid w:val="00E87034"/>
    <w:rsid w:val="00E87A51"/>
    <w:rsid w:val="00E91B00"/>
    <w:rsid w:val="00E91B5C"/>
    <w:rsid w:val="00E91B5F"/>
    <w:rsid w:val="00E93491"/>
    <w:rsid w:val="00E93AF5"/>
    <w:rsid w:val="00E9460F"/>
    <w:rsid w:val="00E9489E"/>
    <w:rsid w:val="00E948F5"/>
    <w:rsid w:val="00E94E45"/>
    <w:rsid w:val="00E9549C"/>
    <w:rsid w:val="00E96AD6"/>
    <w:rsid w:val="00E97553"/>
    <w:rsid w:val="00EA0BE3"/>
    <w:rsid w:val="00EA131B"/>
    <w:rsid w:val="00EA1A1D"/>
    <w:rsid w:val="00EA1BD1"/>
    <w:rsid w:val="00EA1D86"/>
    <w:rsid w:val="00EA2363"/>
    <w:rsid w:val="00EA2A00"/>
    <w:rsid w:val="00EA2D89"/>
    <w:rsid w:val="00EA3121"/>
    <w:rsid w:val="00EA37A9"/>
    <w:rsid w:val="00EA57B7"/>
    <w:rsid w:val="00EA5BE3"/>
    <w:rsid w:val="00EA5F8E"/>
    <w:rsid w:val="00EA6394"/>
    <w:rsid w:val="00EA7A9A"/>
    <w:rsid w:val="00EB05C8"/>
    <w:rsid w:val="00EB3B03"/>
    <w:rsid w:val="00EB41C5"/>
    <w:rsid w:val="00EB4224"/>
    <w:rsid w:val="00EB51FE"/>
    <w:rsid w:val="00EB53B4"/>
    <w:rsid w:val="00EB5A66"/>
    <w:rsid w:val="00EB6354"/>
    <w:rsid w:val="00EB6AFB"/>
    <w:rsid w:val="00EB6D05"/>
    <w:rsid w:val="00EB7745"/>
    <w:rsid w:val="00EB7752"/>
    <w:rsid w:val="00EB7EDF"/>
    <w:rsid w:val="00EB7FA3"/>
    <w:rsid w:val="00EC31C7"/>
    <w:rsid w:val="00EC427E"/>
    <w:rsid w:val="00EC4370"/>
    <w:rsid w:val="00EC50FE"/>
    <w:rsid w:val="00EC5122"/>
    <w:rsid w:val="00EC6180"/>
    <w:rsid w:val="00EC67D8"/>
    <w:rsid w:val="00EC6CAA"/>
    <w:rsid w:val="00EC6D8D"/>
    <w:rsid w:val="00EC7972"/>
    <w:rsid w:val="00ED008A"/>
    <w:rsid w:val="00ED0BEC"/>
    <w:rsid w:val="00ED1350"/>
    <w:rsid w:val="00ED2FCC"/>
    <w:rsid w:val="00ED36B1"/>
    <w:rsid w:val="00ED420E"/>
    <w:rsid w:val="00ED4A0C"/>
    <w:rsid w:val="00ED4CAA"/>
    <w:rsid w:val="00ED54EF"/>
    <w:rsid w:val="00ED5737"/>
    <w:rsid w:val="00ED5D22"/>
    <w:rsid w:val="00ED5E1A"/>
    <w:rsid w:val="00ED78A6"/>
    <w:rsid w:val="00ED7D5C"/>
    <w:rsid w:val="00EE0EAD"/>
    <w:rsid w:val="00EE1008"/>
    <w:rsid w:val="00EE1939"/>
    <w:rsid w:val="00EE1F4A"/>
    <w:rsid w:val="00EE3311"/>
    <w:rsid w:val="00EE6338"/>
    <w:rsid w:val="00EE64A8"/>
    <w:rsid w:val="00EE732E"/>
    <w:rsid w:val="00EE7D01"/>
    <w:rsid w:val="00EF0606"/>
    <w:rsid w:val="00EF1A04"/>
    <w:rsid w:val="00EF1D90"/>
    <w:rsid w:val="00EF1D9F"/>
    <w:rsid w:val="00EF476E"/>
    <w:rsid w:val="00EF4E26"/>
    <w:rsid w:val="00EF5A78"/>
    <w:rsid w:val="00EF5E83"/>
    <w:rsid w:val="00EF6016"/>
    <w:rsid w:val="00EF7C50"/>
    <w:rsid w:val="00F002EE"/>
    <w:rsid w:val="00F010A6"/>
    <w:rsid w:val="00F03944"/>
    <w:rsid w:val="00F054AF"/>
    <w:rsid w:val="00F06FEC"/>
    <w:rsid w:val="00F07815"/>
    <w:rsid w:val="00F1193D"/>
    <w:rsid w:val="00F122E6"/>
    <w:rsid w:val="00F13682"/>
    <w:rsid w:val="00F14A26"/>
    <w:rsid w:val="00F1504E"/>
    <w:rsid w:val="00F15C65"/>
    <w:rsid w:val="00F1737D"/>
    <w:rsid w:val="00F176CF"/>
    <w:rsid w:val="00F20239"/>
    <w:rsid w:val="00F21AD3"/>
    <w:rsid w:val="00F24A0B"/>
    <w:rsid w:val="00F24A1D"/>
    <w:rsid w:val="00F259FA"/>
    <w:rsid w:val="00F25DA1"/>
    <w:rsid w:val="00F30257"/>
    <w:rsid w:val="00F3031B"/>
    <w:rsid w:val="00F32651"/>
    <w:rsid w:val="00F32B08"/>
    <w:rsid w:val="00F32D9F"/>
    <w:rsid w:val="00F332B5"/>
    <w:rsid w:val="00F334FF"/>
    <w:rsid w:val="00F33625"/>
    <w:rsid w:val="00F363C5"/>
    <w:rsid w:val="00F3709D"/>
    <w:rsid w:val="00F375CA"/>
    <w:rsid w:val="00F40401"/>
    <w:rsid w:val="00F4053A"/>
    <w:rsid w:val="00F475FA"/>
    <w:rsid w:val="00F504F7"/>
    <w:rsid w:val="00F51790"/>
    <w:rsid w:val="00F51E09"/>
    <w:rsid w:val="00F52236"/>
    <w:rsid w:val="00F533C2"/>
    <w:rsid w:val="00F535F0"/>
    <w:rsid w:val="00F55B4A"/>
    <w:rsid w:val="00F56CC9"/>
    <w:rsid w:val="00F57538"/>
    <w:rsid w:val="00F604D8"/>
    <w:rsid w:val="00F627F0"/>
    <w:rsid w:val="00F62D5C"/>
    <w:rsid w:val="00F63B01"/>
    <w:rsid w:val="00F63EEF"/>
    <w:rsid w:val="00F63FDF"/>
    <w:rsid w:val="00F64027"/>
    <w:rsid w:val="00F64932"/>
    <w:rsid w:val="00F653E4"/>
    <w:rsid w:val="00F66F9A"/>
    <w:rsid w:val="00F732B2"/>
    <w:rsid w:val="00F74F9C"/>
    <w:rsid w:val="00F758F6"/>
    <w:rsid w:val="00F75F85"/>
    <w:rsid w:val="00F76AA7"/>
    <w:rsid w:val="00F773AE"/>
    <w:rsid w:val="00F817EB"/>
    <w:rsid w:val="00F818FA"/>
    <w:rsid w:val="00F81E0C"/>
    <w:rsid w:val="00F822B7"/>
    <w:rsid w:val="00F83738"/>
    <w:rsid w:val="00F844EB"/>
    <w:rsid w:val="00F85BAD"/>
    <w:rsid w:val="00F85F83"/>
    <w:rsid w:val="00F862BD"/>
    <w:rsid w:val="00F86600"/>
    <w:rsid w:val="00F86614"/>
    <w:rsid w:val="00F86BBC"/>
    <w:rsid w:val="00F8703D"/>
    <w:rsid w:val="00F9084C"/>
    <w:rsid w:val="00F9135F"/>
    <w:rsid w:val="00F916AA"/>
    <w:rsid w:val="00F92AEF"/>
    <w:rsid w:val="00F9397D"/>
    <w:rsid w:val="00F93DDB"/>
    <w:rsid w:val="00F94FDD"/>
    <w:rsid w:val="00F95341"/>
    <w:rsid w:val="00F958AB"/>
    <w:rsid w:val="00F96A7B"/>
    <w:rsid w:val="00F97013"/>
    <w:rsid w:val="00FA0EB0"/>
    <w:rsid w:val="00FA13D2"/>
    <w:rsid w:val="00FA1761"/>
    <w:rsid w:val="00FA193F"/>
    <w:rsid w:val="00FA2F6D"/>
    <w:rsid w:val="00FA314F"/>
    <w:rsid w:val="00FA3692"/>
    <w:rsid w:val="00FA3AFC"/>
    <w:rsid w:val="00FA4013"/>
    <w:rsid w:val="00FA4D63"/>
    <w:rsid w:val="00FA4FF9"/>
    <w:rsid w:val="00FA6110"/>
    <w:rsid w:val="00FA693C"/>
    <w:rsid w:val="00FA7C78"/>
    <w:rsid w:val="00FB1171"/>
    <w:rsid w:val="00FB12B3"/>
    <w:rsid w:val="00FB2483"/>
    <w:rsid w:val="00FB26F3"/>
    <w:rsid w:val="00FB2762"/>
    <w:rsid w:val="00FB2DF4"/>
    <w:rsid w:val="00FB2F40"/>
    <w:rsid w:val="00FB30C1"/>
    <w:rsid w:val="00FB3736"/>
    <w:rsid w:val="00FB4145"/>
    <w:rsid w:val="00FB4E35"/>
    <w:rsid w:val="00FB5DD7"/>
    <w:rsid w:val="00FB66C2"/>
    <w:rsid w:val="00FB66CF"/>
    <w:rsid w:val="00FB76AD"/>
    <w:rsid w:val="00FB7E93"/>
    <w:rsid w:val="00FC429A"/>
    <w:rsid w:val="00FC42B1"/>
    <w:rsid w:val="00FC5308"/>
    <w:rsid w:val="00FC5AA4"/>
    <w:rsid w:val="00FC5E91"/>
    <w:rsid w:val="00FC6086"/>
    <w:rsid w:val="00FC7468"/>
    <w:rsid w:val="00FD1257"/>
    <w:rsid w:val="00FD1C64"/>
    <w:rsid w:val="00FD2049"/>
    <w:rsid w:val="00FD2EE0"/>
    <w:rsid w:val="00FD368B"/>
    <w:rsid w:val="00FD39BF"/>
    <w:rsid w:val="00FD3E79"/>
    <w:rsid w:val="00FD459C"/>
    <w:rsid w:val="00FD4732"/>
    <w:rsid w:val="00FD5AA5"/>
    <w:rsid w:val="00FD5E36"/>
    <w:rsid w:val="00FD7329"/>
    <w:rsid w:val="00FD749E"/>
    <w:rsid w:val="00FD79A7"/>
    <w:rsid w:val="00FD7E65"/>
    <w:rsid w:val="00FD7F99"/>
    <w:rsid w:val="00FE0F7D"/>
    <w:rsid w:val="00FE24B3"/>
    <w:rsid w:val="00FE27CF"/>
    <w:rsid w:val="00FE2AE9"/>
    <w:rsid w:val="00FE3732"/>
    <w:rsid w:val="00FE3B70"/>
    <w:rsid w:val="00FE4683"/>
    <w:rsid w:val="00FE5D37"/>
    <w:rsid w:val="00FE65B5"/>
    <w:rsid w:val="00FE768E"/>
    <w:rsid w:val="00FE7DBF"/>
    <w:rsid w:val="00FE7E5D"/>
    <w:rsid w:val="00FF0008"/>
    <w:rsid w:val="00FF0391"/>
    <w:rsid w:val="00FF16BF"/>
    <w:rsid w:val="00FF278D"/>
    <w:rsid w:val="00FF296B"/>
    <w:rsid w:val="00FF38B1"/>
    <w:rsid w:val="00FF3B4B"/>
    <w:rsid w:val="00FF446C"/>
    <w:rsid w:val="00FF52E1"/>
    <w:rsid w:val="00FF54B1"/>
    <w:rsid w:val="00FF6C18"/>
    <w:rsid w:val="00FF75E6"/>
    <w:rsid w:val="00FF7F3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0C"/>
    <w:rPr>
      <w:rFonts w:ascii="Arial" w:hAnsi="Arial"/>
      <w:color w:val="000000"/>
      <w:lang w:val="en-GB" w:eastAsia="en-US"/>
    </w:rPr>
  </w:style>
  <w:style w:type="paragraph" w:styleId="Ttulo1">
    <w:name w:val="heading 1"/>
    <w:basedOn w:val="Normal"/>
    <w:next w:val="Normal"/>
    <w:link w:val="Ttulo1Carcter"/>
    <w:qFormat/>
    <w:rsid w:val="00E547ED"/>
    <w:pPr>
      <w:keepNext/>
      <w:spacing w:before="240" w:after="60"/>
      <w:outlineLvl w:val="0"/>
    </w:pPr>
    <w:rPr>
      <w:rFonts w:cs="Arial"/>
      <w:b/>
      <w:bCs/>
      <w:kern w:val="32"/>
      <w:sz w:val="32"/>
      <w:szCs w:val="32"/>
    </w:rPr>
  </w:style>
  <w:style w:type="paragraph" w:styleId="Ttulo2">
    <w:name w:val="heading 2"/>
    <w:basedOn w:val="Normal"/>
    <w:next w:val="Normal"/>
    <w:link w:val="Ttulo2Carcter"/>
    <w:uiPriority w:val="99"/>
    <w:qFormat/>
    <w:rsid w:val="0045718A"/>
    <w:pPr>
      <w:keepNext/>
      <w:spacing w:before="240" w:after="60"/>
      <w:outlineLvl w:val="1"/>
    </w:pPr>
    <w:rPr>
      <w:rFonts w:cs="Arial"/>
      <w:b/>
      <w:bCs/>
      <w:i/>
      <w:iCs/>
      <w:sz w:val="28"/>
      <w:szCs w:val="28"/>
    </w:rPr>
  </w:style>
  <w:style w:type="paragraph" w:styleId="Ttulo3">
    <w:name w:val="heading 3"/>
    <w:basedOn w:val="Normal"/>
    <w:next w:val="Normal"/>
    <w:link w:val="Ttulo3Carcter"/>
    <w:uiPriority w:val="99"/>
    <w:qFormat/>
    <w:rsid w:val="00B62503"/>
    <w:pPr>
      <w:keepNext/>
      <w:numPr>
        <w:ilvl w:val="2"/>
        <w:numId w:val="4"/>
      </w:numPr>
      <w:tabs>
        <w:tab w:val="num" w:pos="680"/>
      </w:tabs>
      <w:spacing w:before="240" w:after="240" w:line="240" w:lineRule="exact"/>
      <w:ind w:left="677" w:hanging="677"/>
      <w:outlineLvl w:val="2"/>
    </w:pPr>
    <w:rPr>
      <w:rFonts w:ascii="Arial Bold" w:hAnsi="Arial Bold" w:cs="Arial"/>
      <w:b/>
      <w:bCs/>
      <w:color w:val="000080"/>
      <w:spacing w:val="-6"/>
      <w:sz w:val="22"/>
      <w:szCs w:val="22"/>
      <w:lang w:eastAsia="ja-JP"/>
    </w:rPr>
  </w:style>
  <w:style w:type="paragraph" w:styleId="Ttulo4">
    <w:name w:val="heading 4"/>
    <w:aliases w:val="Q? a) Lettered list bold style"/>
    <w:basedOn w:val="Normal"/>
    <w:next w:val="Normal"/>
    <w:link w:val="Ttulo4Carcter"/>
    <w:uiPriority w:val="99"/>
    <w:qFormat/>
    <w:rsid w:val="00E547ED"/>
    <w:pPr>
      <w:keepNext/>
      <w:numPr>
        <w:numId w:val="6"/>
      </w:numPr>
      <w:spacing w:line="240" w:lineRule="exact"/>
      <w:outlineLvl w:val="3"/>
    </w:pPr>
    <w:rPr>
      <w:rFonts w:cs="Arial"/>
      <w:b/>
      <w:bCs/>
      <w:spacing w:val="-6"/>
      <w:sz w:val="22"/>
      <w:lang w:eastAsia="ja-JP"/>
    </w:rPr>
  </w:style>
  <w:style w:type="paragraph" w:styleId="Ttulo5">
    <w:name w:val="heading 5"/>
    <w:aliases w:val="Q? Indented list"/>
    <w:basedOn w:val="Normal"/>
    <w:link w:val="Ttulo5Carcter"/>
    <w:uiPriority w:val="99"/>
    <w:qFormat/>
    <w:rsid w:val="00E547ED"/>
    <w:pPr>
      <w:spacing w:after="240" w:line="240" w:lineRule="exact"/>
      <w:ind w:left="851"/>
      <w:outlineLvl w:val="4"/>
    </w:pPr>
    <w:rPr>
      <w:rFonts w:cs="Arial"/>
      <w:spacing w:val="-6"/>
      <w:sz w:val="22"/>
      <w:lang w:eastAsia="ja-JP"/>
    </w:rPr>
  </w:style>
  <w:style w:type="paragraph" w:styleId="Ttulo6">
    <w:name w:val="heading 6"/>
    <w:aliases w:val="Q? Indented list 2"/>
    <w:basedOn w:val="Normal"/>
    <w:link w:val="Ttulo6Carcter"/>
    <w:uiPriority w:val="99"/>
    <w:qFormat/>
    <w:rsid w:val="00E547ED"/>
    <w:pPr>
      <w:spacing w:after="240" w:line="240" w:lineRule="exact"/>
      <w:ind w:left="1134"/>
      <w:outlineLvl w:val="5"/>
    </w:pPr>
    <w:rPr>
      <w:rFonts w:cs="Arial"/>
      <w:spacing w:val="-6"/>
      <w:sz w:val="22"/>
      <w:lang w:eastAsia="ja-JP"/>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link w:val="Ttulo1"/>
    <w:uiPriority w:val="99"/>
    <w:locked/>
    <w:rsid w:val="004E2A84"/>
    <w:rPr>
      <w:rFonts w:ascii="Cambria" w:hAnsi="Cambria" w:cs="Times New Roman"/>
      <w:b/>
      <w:bCs/>
      <w:color w:val="000000"/>
      <w:kern w:val="32"/>
      <w:sz w:val="32"/>
      <w:szCs w:val="32"/>
      <w:lang w:eastAsia="en-US"/>
    </w:rPr>
  </w:style>
  <w:style w:type="character" w:customStyle="1" w:styleId="Ttulo2Carcter">
    <w:name w:val="Título 2 Carácter"/>
    <w:link w:val="Ttulo2"/>
    <w:uiPriority w:val="99"/>
    <w:semiHidden/>
    <w:locked/>
    <w:rsid w:val="004E2A84"/>
    <w:rPr>
      <w:rFonts w:ascii="Cambria" w:hAnsi="Cambria" w:cs="Times New Roman"/>
      <w:b/>
      <w:bCs/>
      <w:i/>
      <w:iCs/>
      <w:color w:val="000000"/>
      <w:sz w:val="28"/>
      <w:szCs w:val="28"/>
      <w:lang w:eastAsia="en-US"/>
    </w:rPr>
  </w:style>
  <w:style w:type="character" w:customStyle="1" w:styleId="Ttulo3Carcter">
    <w:name w:val="Título 3 Carácter"/>
    <w:link w:val="Ttulo3"/>
    <w:uiPriority w:val="99"/>
    <w:locked/>
    <w:rsid w:val="004E2A84"/>
    <w:rPr>
      <w:rFonts w:ascii="Arial Bold" w:hAnsi="Arial Bold" w:cs="Arial"/>
      <w:b/>
      <w:bCs/>
      <w:color w:val="000080"/>
      <w:spacing w:val="-6"/>
      <w:sz w:val="22"/>
      <w:szCs w:val="22"/>
      <w:lang w:eastAsia="ja-JP"/>
    </w:rPr>
  </w:style>
  <w:style w:type="character" w:customStyle="1" w:styleId="Ttulo4Carcter">
    <w:name w:val="Título 4 Carácter"/>
    <w:aliases w:val="Q? a) Lettered list bold style Carácter"/>
    <w:link w:val="Ttulo4"/>
    <w:uiPriority w:val="99"/>
    <w:locked/>
    <w:rsid w:val="004E2A84"/>
    <w:rPr>
      <w:rFonts w:ascii="Arial" w:hAnsi="Arial" w:cs="Arial"/>
      <w:b/>
      <w:bCs/>
      <w:color w:val="000000"/>
      <w:spacing w:val="-6"/>
      <w:sz w:val="22"/>
      <w:lang w:eastAsia="ja-JP"/>
    </w:rPr>
  </w:style>
  <w:style w:type="character" w:customStyle="1" w:styleId="Ttulo5Carcter">
    <w:name w:val="Título 5 Carácter"/>
    <w:aliases w:val="Q? Indented list Carácter"/>
    <w:link w:val="Ttulo5"/>
    <w:uiPriority w:val="99"/>
    <w:semiHidden/>
    <w:locked/>
    <w:rsid w:val="004E2A84"/>
    <w:rPr>
      <w:rFonts w:ascii="Calibri" w:hAnsi="Calibri" w:cs="Times New Roman"/>
      <w:b/>
      <w:bCs/>
      <w:i/>
      <w:iCs/>
      <w:color w:val="000000"/>
      <w:sz w:val="26"/>
      <w:szCs w:val="26"/>
      <w:lang w:eastAsia="en-US"/>
    </w:rPr>
  </w:style>
  <w:style w:type="character" w:customStyle="1" w:styleId="Ttulo6Carcter">
    <w:name w:val="Título 6 Carácter"/>
    <w:aliases w:val="Q? Indented list 2 Carácter"/>
    <w:link w:val="Ttulo6"/>
    <w:uiPriority w:val="99"/>
    <w:semiHidden/>
    <w:locked/>
    <w:rsid w:val="004E2A84"/>
    <w:rPr>
      <w:rFonts w:ascii="Calibri" w:hAnsi="Calibri" w:cs="Times New Roman"/>
      <w:b/>
      <w:bCs/>
      <w:color w:val="000000"/>
      <w:sz w:val="22"/>
      <w:szCs w:val="22"/>
      <w:lang w:eastAsia="en-US"/>
    </w:rPr>
  </w:style>
  <w:style w:type="paragraph" w:styleId="Cabealho">
    <w:name w:val="header"/>
    <w:basedOn w:val="Normal"/>
    <w:link w:val="CabealhoCarcter"/>
    <w:uiPriority w:val="99"/>
    <w:rsid w:val="0033226D"/>
    <w:pPr>
      <w:tabs>
        <w:tab w:val="center" w:pos="4153"/>
        <w:tab w:val="right" w:pos="8306"/>
      </w:tabs>
    </w:pPr>
  </w:style>
  <w:style w:type="character" w:customStyle="1" w:styleId="CabealhoCarcter">
    <w:name w:val="Cabeçalho Carácter"/>
    <w:link w:val="Cabealho"/>
    <w:uiPriority w:val="99"/>
    <w:semiHidden/>
    <w:locked/>
    <w:rsid w:val="004E2A84"/>
    <w:rPr>
      <w:rFonts w:ascii="Arial" w:hAnsi="Arial" w:cs="Times New Roman"/>
      <w:color w:val="000000"/>
      <w:lang w:eastAsia="en-US"/>
    </w:rPr>
  </w:style>
  <w:style w:type="paragraph" w:styleId="Rodap">
    <w:name w:val="footer"/>
    <w:basedOn w:val="Normal"/>
    <w:link w:val="RodapCarcter"/>
    <w:uiPriority w:val="99"/>
    <w:semiHidden/>
    <w:rsid w:val="006473B5"/>
    <w:pPr>
      <w:tabs>
        <w:tab w:val="center" w:pos="4320"/>
        <w:tab w:val="right" w:pos="8640"/>
      </w:tabs>
    </w:pPr>
  </w:style>
  <w:style w:type="character" w:customStyle="1" w:styleId="RodapCarcter">
    <w:name w:val="Rodapé Carácter"/>
    <w:link w:val="Rodap"/>
    <w:uiPriority w:val="99"/>
    <w:semiHidden/>
    <w:locked/>
    <w:rsid w:val="004E2A84"/>
    <w:rPr>
      <w:rFonts w:ascii="Arial" w:hAnsi="Arial" w:cs="Times New Roman"/>
      <w:color w:val="000000"/>
      <w:lang w:eastAsia="en-US"/>
    </w:rPr>
  </w:style>
  <w:style w:type="paragraph" w:styleId="Mapadodocumento">
    <w:name w:val="Document Map"/>
    <w:basedOn w:val="Normal"/>
    <w:link w:val="MapadodocumentoCarcter"/>
    <w:uiPriority w:val="99"/>
    <w:semiHidden/>
    <w:rsid w:val="006473B5"/>
    <w:pPr>
      <w:shd w:val="clear" w:color="auto" w:fill="C6D5EC"/>
    </w:pPr>
    <w:rPr>
      <w:rFonts w:ascii="Lucida Grande" w:hAnsi="Lucida Grande"/>
    </w:rPr>
  </w:style>
  <w:style w:type="character" w:customStyle="1" w:styleId="MapadodocumentoCarcter">
    <w:name w:val="Mapa do documento Carácter"/>
    <w:link w:val="Mapadodocumento"/>
    <w:uiPriority w:val="99"/>
    <w:semiHidden/>
    <w:locked/>
    <w:rsid w:val="004E2A84"/>
    <w:rPr>
      <w:rFonts w:cs="Times New Roman"/>
      <w:color w:val="000000"/>
      <w:sz w:val="2"/>
      <w:lang w:eastAsia="en-US"/>
    </w:rPr>
  </w:style>
  <w:style w:type="paragraph" w:customStyle="1" w:styleId="NB-Level1ParagraphHeadingBlue">
    <w:name w:val="NB -  (Level 1) Paragraph Heading Blue"/>
    <w:basedOn w:val="NB-Level2ParagraphHeadingDarkBlue"/>
    <w:next w:val="Normal"/>
    <w:autoRedefine/>
    <w:uiPriority w:val="99"/>
    <w:rsid w:val="00454B2B"/>
  </w:style>
  <w:style w:type="paragraph" w:styleId="Ttulo">
    <w:name w:val="Title"/>
    <w:aliases w:val="NB - Title 2 (Schr Blue),Q? Title"/>
    <w:basedOn w:val="Normal"/>
    <w:next w:val="Subttulo"/>
    <w:link w:val="TtuloCarcter"/>
    <w:autoRedefine/>
    <w:uiPriority w:val="99"/>
    <w:qFormat/>
    <w:rsid w:val="00C923F6"/>
    <w:pPr>
      <w:spacing w:before="40" w:after="200"/>
      <w:outlineLvl w:val="0"/>
    </w:pPr>
    <w:rPr>
      <w:rFonts w:cs="Arial"/>
      <w:b/>
      <w:bCs/>
      <w:color w:val="001950"/>
      <w:spacing w:val="-10"/>
      <w:kern w:val="28"/>
      <w:sz w:val="56"/>
      <w:szCs w:val="56"/>
      <w:lang w:eastAsia="ja-JP"/>
    </w:rPr>
  </w:style>
  <w:style w:type="character" w:customStyle="1" w:styleId="TtuloCarcter">
    <w:name w:val="Título Carácter"/>
    <w:aliases w:val="NB - Title 2 (Schr Blue) Carácter,Q? Title Carácter"/>
    <w:link w:val="Ttulo"/>
    <w:uiPriority w:val="99"/>
    <w:locked/>
    <w:rsid w:val="00C923F6"/>
    <w:rPr>
      <w:rFonts w:ascii="Arial" w:hAnsi="Arial" w:cs="Arial"/>
      <w:b/>
      <w:bCs/>
      <w:color w:val="001950"/>
      <w:spacing w:val="-10"/>
      <w:kern w:val="28"/>
      <w:sz w:val="56"/>
      <w:szCs w:val="56"/>
      <w:lang w:eastAsia="ja-JP"/>
    </w:rPr>
  </w:style>
  <w:style w:type="paragraph" w:styleId="Subttulo">
    <w:name w:val="Subtitle"/>
    <w:aliases w:val="NB-Subtitle (Black)"/>
    <w:basedOn w:val="Normal"/>
    <w:next w:val="Normal"/>
    <w:link w:val="SubttuloCarcter"/>
    <w:uiPriority w:val="99"/>
    <w:qFormat/>
    <w:rsid w:val="0067234C"/>
    <w:pPr>
      <w:spacing w:after="120"/>
      <w:outlineLvl w:val="1"/>
    </w:pPr>
    <w:rPr>
      <w:rFonts w:cs="Arial"/>
      <w:spacing w:val="-8"/>
      <w:sz w:val="40"/>
      <w:szCs w:val="40"/>
      <w:lang w:eastAsia="ja-JP"/>
    </w:rPr>
  </w:style>
  <w:style w:type="character" w:customStyle="1" w:styleId="SubttuloCarcter">
    <w:name w:val="Subtítulo Carácter"/>
    <w:aliases w:val="NB-Subtitle (Black) Carácter"/>
    <w:link w:val="Subttulo"/>
    <w:uiPriority w:val="99"/>
    <w:locked/>
    <w:rsid w:val="004E2A84"/>
    <w:rPr>
      <w:rFonts w:ascii="Cambria" w:hAnsi="Cambria" w:cs="Times New Roman"/>
      <w:color w:val="000000"/>
      <w:sz w:val="24"/>
      <w:szCs w:val="24"/>
      <w:lang w:eastAsia="en-US"/>
    </w:rPr>
  </w:style>
  <w:style w:type="paragraph" w:customStyle="1" w:styleId="NB-Level3ChartTitlesParagraphHeadingBlack">
    <w:name w:val="NB - (Level 3 + Chart Titles) Paragraph Heading  Black"/>
    <w:basedOn w:val="Normal"/>
    <w:next w:val="Normal"/>
    <w:autoRedefine/>
    <w:uiPriority w:val="99"/>
    <w:rsid w:val="00E53D8D"/>
    <w:pPr>
      <w:spacing w:after="120" w:line="240" w:lineRule="exact"/>
    </w:pPr>
    <w:rPr>
      <w:rFonts w:cs="Arial"/>
      <w:b/>
      <w:bCs/>
      <w:spacing w:val="-8"/>
      <w:sz w:val="22"/>
      <w:lang w:eastAsia="ja-JP"/>
    </w:rPr>
  </w:style>
  <w:style w:type="paragraph" w:customStyle="1" w:styleId="NB-StyleHeading6QIndentedlist2After0pt">
    <w:name w:val="NB-Style Heading 6Q? Indented list 2 + After:  0 pt"/>
    <w:basedOn w:val="Ttulo6"/>
    <w:uiPriority w:val="99"/>
    <w:rsid w:val="00D24333"/>
    <w:pPr>
      <w:spacing w:after="0"/>
    </w:pPr>
    <w:rPr>
      <w:rFonts w:cs="Times New Roman"/>
      <w:sz w:val="20"/>
    </w:rPr>
  </w:style>
  <w:style w:type="paragraph" w:styleId="ndice1">
    <w:name w:val="toc 1"/>
    <w:aliases w:val="NB - Table Of Contents Level 1"/>
    <w:basedOn w:val="Normal"/>
    <w:next w:val="Normal"/>
    <w:autoRedefine/>
    <w:uiPriority w:val="99"/>
    <w:semiHidden/>
    <w:rsid w:val="001A17FA"/>
    <w:pPr>
      <w:tabs>
        <w:tab w:val="right" w:leader="middleDot" w:pos="9498"/>
      </w:tabs>
      <w:spacing w:before="60" w:line="240" w:lineRule="exact"/>
      <w:ind w:left="284"/>
    </w:pPr>
    <w:rPr>
      <w:rFonts w:cs="Arial"/>
      <w:noProof/>
      <w:color w:val="001950"/>
      <w:spacing w:val="-6"/>
      <w:sz w:val="22"/>
      <w:szCs w:val="22"/>
      <w:lang w:eastAsia="ja-JP"/>
    </w:rPr>
  </w:style>
  <w:style w:type="paragraph" w:customStyle="1" w:styleId="NB-Level1ParagraphHeadingOrange">
    <w:name w:val="NB -  (Level 1) Paragraph Heading Orange"/>
    <w:basedOn w:val="NB-Level2ParagraphHeadingDarkBlue"/>
    <w:next w:val="Normal"/>
    <w:autoRedefine/>
    <w:uiPriority w:val="99"/>
    <w:rsid w:val="0098686A"/>
    <w:rPr>
      <w:color w:val="F47920"/>
    </w:rPr>
  </w:style>
  <w:style w:type="paragraph" w:customStyle="1" w:styleId="NB-BulletedtextNormal">
    <w:name w:val="NB -  Bulleted text (Normal)"/>
    <w:basedOn w:val="Normal"/>
    <w:autoRedefine/>
    <w:uiPriority w:val="99"/>
    <w:rsid w:val="0034378E"/>
    <w:pPr>
      <w:numPr>
        <w:numId w:val="1"/>
      </w:numPr>
      <w:spacing w:before="120" w:after="120" w:line="240" w:lineRule="exact"/>
      <w:ind w:left="675" w:hanging="675"/>
    </w:pPr>
    <w:rPr>
      <w:rFonts w:cs="Arial"/>
      <w:spacing w:val="-6"/>
      <w:lang w:eastAsia="ja-JP"/>
    </w:rPr>
  </w:style>
  <w:style w:type="paragraph" w:customStyle="1" w:styleId="NB-Numberedlistbold">
    <w:name w:val="NB -  Numbered list bold"/>
    <w:basedOn w:val="Normal"/>
    <w:next w:val="Normal"/>
    <w:autoRedefine/>
    <w:uiPriority w:val="99"/>
    <w:rsid w:val="00E547ED"/>
    <w:pPr>
      <w:numPr>
        <w:numId w:val="3"/>
      </w:numPr>
      <w:spacing w:line="240" w:lineRule="exact"/>
    </w:pPr>
    <w:rPr>
      <w:rFonts w:cs="Arial"/>
      <w:b/>
      <w:bCs/>
      <w:spacing w:val="-6"/>
      <w:sz w:val="22"/>
      <w:lang w:eastAsia="ja-JP"/>
    </w:rPr>
  </w:style>
  <w:style w:type="paragraph" w:customStyle="1" w:styleId="NB-BodyTextBold">
    <w:name w:val="NB - Body Text Bold"/>
    <w:basedOn w:val="NB-BodyText"/>
    <w:uiPriority w:val="99"/>
    <w:rsid w:val="0067234C"/>
    <w:rPr>
      <w:rFonts w:ascii="Arial Bold" w:hAnsi="Arial Bold" w:cs="Arial Bold"/>
      <w:b/>
      <w:szCs w:val="20"/>
    </w:rPr>
  </w:style>
  <w:style w:type="paragraph" w:customStyle="1" w:styleId="NB-NumberedlistPlainText">
    <w:name w:val="NB - Numbered list (Plain Text)"/>
    <w:basedOn w:val="NB-Numberedlistbold"/>
    <w:autoRedefine/>
    <w:uiPriority w:val="99"/>
    <w:rsid w:val="00B87084"/>
    <w:pPr>
      <w:numPr>
        <w:numId w:val="2"/>
      </w:numPr>
      <w:spacing w:after="120"/>
    </w:pPr>
    <w:rPr>
      <w:b w:val="0"/>
      <w:bCs w:val="0"/>
      <w:sz w:val="20"/>
    </w:rPr>
  </w:style>
  <w:style w:type="paragraph" w:customStyle="1" w:styleId="NB-aLetteredlistunbold">
    <w:name w:val="NB -  a. Lettered list unbold"/>
    <w:basedOn w:val="Normal"/>
    <w:autoRedefine/>
    <w:uiPriority w:val="99"/>
    <w:rsid w:val="00B87084"/>
    <w:pPr>
      <w:numPr>
        <w:numId w:val="5"/>
      </w:numPr>
      <w:spacing w:before="120" w:line="240" w:lineRule="exact"/>
    </w:pPr>
    <w:rPr>
      <w:rFonts w:cs="Arial"/>
      <w:spacing w:val="-6"/>
      <w:lang w:eastAsia="ja-JP"/>
    </w:rPr>
  </w:style>
  <w:style w:type="paragraph" w:customStyle="1" w:styleId="NB-Bulleted-11Questions">
    <w:name w:val="NB - Bulleted  - 1.1 Questions"/>
    <w:next w:val="Normal"/>
    <w:autoRedefine/>
    <w:uiPriority w:val="99"/>
    <w:rsid w:val="00CB2FC5"/>
    <w:pPr>
      <w:keepNext/>
      <w:numPr>
        <w:ilvl w:val="1"/>
        <w:numId w:val="4"/>
      </w:numPr>
      <w:spacing w:before="240" w:after="240" w:line="240" w:lineRule="exact"/>
      <w:ind w:left="677" w:hanging="677"/>
    </w:pPr>
    <w:rPr>
      <w:rFonts w:ascii="Arial Bold" w:hAnsi="Arial Bold" w:cs="Arial"/>
      <w:b/>
      <w:bCs/>
      <w:noProof/>
      <w:color w:val="001950"/>
      <w:sz w:val="22"/>
      <w:szCs w:val="22"/>
      <w:lang w:val="en-GB" w:eastAsia="ja-JP"/>
    </w:rPr>
  </w:style>
  <w:style w:type="table" w:styleId="Tabelacomgrelha">
    <w:name w:val="Table Grid"/>
    <w:basedOn w:val="Tabelanormal"/>
    <w:uiPriority w:val="59"/>
    <w:rsid w:val="001D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Level2ParagraphHeadingDarkBlue">
    <w:name w:val="NB - (Level 2)  Paragraph Heading Dark Blue"/>
    <w:basedOn w:val="Normal"/>
    <w:next w:val="Normal"/>
    <w:autoRedefine/>
    <w:uiPriority w:val="99"/>
    <w:rsid w:val="00F92AEF"/>
    <w:pPr>
      <w:spacing w:before="240" w:after="180" w:line="240" w:lineRule="exact"/>
    </w:pPr>
    <w:rPr>
      <w:rFonts w:ascii="Arial Bold" w:hAnsi="Arial Bold"/>
      <w:b/>
      <w:color w:val="001950"/>
      <w:sz w:val="22"/>
      <w:szCs w:val="22"/>
    </w:rPr>
  </w:style>
  <w:style w:type="paragraph" w:styleId="ndice7">
    <w:name w:val="toc 7"/>
    <w:basedOn w:val="Normal"/>
    <w:next w:val="Normal"/>
    <w:autoRedefine/>
    <w:uiPriority w:val="99"/>
    <w:semiHidden/>
    <w:rsid w:val="00987E03"/>
    <w:pPr>
      <w:spacing w:after="240" w:line="240" w:lineRule="exact"/>
      <w:ind w:left="1320"/>
    </w:pPr>
    <w:rPr>
      <w:rFonts w:cs="Arial"/>
      <w:spacing w:val="-6"/>
      <w:sz w:val="22"/>
      <w:lang w:eastAsia="ja-JP"/>
    </w:rPr>
  </w:style>
  <w:style w:type="paragraph" w:customStyle="1" w:styleId="NB-Tabletext">
    <w:name w:val="NB -  Table text"/>
    <w:basedOn w:val="Normal"/>
    <w:autoRedefine/>
    <w:rsid w:val="00742CEB"/>
    <w:pPr>
      <w:shd w:val="clear" w:color="0000FF" w:fill="auto"/>
      <w:spacing w:before="60" w:line="200" w:lineRule="exact"/>
      <w:ind w:right="360"/>
    </w:pPr>
    <w:rPr>
      <w:rFonts w:cs="Arial"/>
      <w:spacing w:val="-7"/>
      <w:sz w:val="18"/>
      <w:szCs w:val="18"/>
      <w:lang w:eastAsia="ja-JP"/>
    </w:rPr>
  </w:style>
  <w:style w:type="paragraph" w:customStyle="1" w:styleId="NB-Tabletextbluebold">
    <w:name w:val="NB -  Table text blue bold"/>
    <w:basedOn w:val="NB-Tabletext"/>
    <w:next w:val="NB-Tabletext"/>
    <w:autoRedefine/>
    <w:uiPriority w:val="99"/>
    <w:rsid w:val="005511F6"/>
    <w:pPr>
      <w:ind w:right="57"/>
    </w:pPr>
    <w:rPr>
      <w:rFonts w:ascii="Arial Bold" w:hAnsi="Arial Bold"/>
      <w:b/>
      <w:bCs/>
      <w:noProof/>
      <w:color w:val="001950"/>
      <w:spacing w:val="-8"/>
    </w:rPr>
  </w:style>
  <w:style w:type="paragraph" w:customStyle="1" w:styleId="NB-BulletBodyText">
    <w:name w:val="NB-Bullet Body Text"/>
    <w:basedOn w:val="NB-BodyText"/>
    <w:next w:val="NB-BodyText"/>
    <w:uiPriority w:val="99"/>
    <w:rsid w:val="00B87084"/>
    <w:pPr>
      <w:spacing w:before="120"/>
      <w:ind w:firstLine="680"/>
    </w:pPr>
  </w:style>
  <w:style w:type="paragraph" w:customStyle="1" w:styleId="NB-ContentsPageTitleStyle">
    <w:name w:val="NB -  Contents Page Title Style"/>
    <w:basedOn w:val="NB-PageTitleAppearsinContentsPage"/>
    <w:autoRedefine/>
    <w:uiPriority w:val="99"/>
    <w:rsid w:val="001A17FA"/>
    <w:pPr>
      <w:tabs>
        <w:tab w:val="clear" w:pos="10065"/>
        <w:tab w:val="right" w:pos="9498"/>
      </w:tabs>
    </w:pPr>
  </w:style>
  <w:style w:type="paragraph" w:customStyle="1" w:styleId="NB-Title1Orange">
    <w:name w:val="NB-Title 1 (Orange)"/>
    <w:basedOn w:val="Normal"/>
    <w:autoRedefine/>
    <w:uiPriority w:val="99"/>
    <w:rsid w:val="00CA5B4A"/>
    <w:pPr>
      <w:tabs>
        <w:tab w:val="left" w:pos="2127"/>
      </w:tabs>
      <w:spacing w:line="560" w:lineRule="exact"/>
      <w:jc w:val="both"/>
      <w:outlineLvl w:val="0"/>
    </w:pPr>
    <w:rPr>
      <w:rFonts w:cs="Arial"/>
      <w:b/>
      <w:color w:val="F47920"/>
      <w:spacing w:val="-8"/>
      <w:kern w:val="28"/>
      <w:sz w:val="52"/>
      <w:szCs w:val="56"/>
      <w:lang w:eastAsia="ja-JP"/>
    </w:rPr>
  </w:style>
  <w:style w:type="paragraph" w:customStyle="1" w:styleId="NB-PageTitleAppearsinContentsPage">
    <w:name w:val="NB - Page Title (Appears in Contents Page)"/>
    <w:basedOn w:val="Normal"/>
    <w:next w:val="NB-StyleHeading6QIndentedlist2After0pt"/>
    <w:link w:val="NB-PageTitleAppearsinContentsPageChar"/>
    <w:uiPriority w:val="99"/>
    <w:rsid w:val="0067234C"/>
    <w:pPr>
      <w:tabs>
        <w:tab w:val="right" w:pos="10065"/>
      </w:tabs>
      <w:spacing w:before="120" w:after="120"/>
    </w:pPr>
    <w:rPr>
      <w:b/>
      <w:bCs/>
      <w:color w:val="001950"/>
      <w:spacing w:val="-6"/>
      <w:sz w:val="40"/>
      <w:szCs w:val="40"/>
      <w:lang w:eastAsia="ja-JP"/>
    </w:rPr>
  </w:style>
  <w:style w:type="character" w:customStyle="1" w:styleId="NB-PageTitleAppearsinContentsPageChar">
    <w:name w:val="NB - Page Title (Appears in Contents Page) Char"/>
    <w:link w:val="NB-PageTitleAppearsinContentsPage"/>
    <w:uiPriority w:val="99"/>
    <w:locked/>
    <w:rsid w:val="0067234C"/>
    <w:rPr>
      <w:rFonts w:ascii="Arial" w:hAnsi="Arial" w:cs="Times New Roman"/>
      <w:b/>
      <w:bCs/>
      <w:color w:val="001950"/>
      <w:spacing w:val="-6"/>
      <w:sz w:val="40"/>
      <w:szCs w:val="40"/>
      <w:lang w:val="en-GB" w:eastAsia="ja-JP" w:bidi="ar-SA"/>
    </w:rPr>
  </w:style>
  <w:style w:type="character" w:styleId="Nmerodepgina">
    <w:name w:val="page number"/>
    <w:rsid w:val="006F4086"/>
    <w:rPr>
      <w:rFonts w:cs="Times New Roman"/>
    </w:rPr>
  </w:style>
  <w:style w:type="paragraph" w:customStyle="1" w:styleId="NB-Sub-documenttitle">
    <w:name w:val="NB-Sub-document title"/>
    <w:basedOn w:val="NB-BodyText"/>
    <w:uiPriority w:val="99"/>
    <w:rsid w:val="00746DFC"/>
    <w:pPr>
      <w:spacing w:before="60"/>
    </w:pPr>
    <w:rPr>
      <w:b/>
      <w:color w:val="6D7275"/>
      <w:sz w:val="36"/>
      <w:szCs w:val="20"/>
    </w:rPr>
  </w:style>
  <w:style w:type="paragraph" w:customStyle="1" w:styleId="NB-BodyText">
    <w:name w:val="NB - Body Text"/>
    <w:basedOn w:val="Normal"/>
    <w:next w:val="Normal"/>
    <w:autoRedefine/>
    <w:rsid w:val="00532AFA"/>
    <w:pPr>
      <w:tabs>
        <w:tab w:val="left" w:pos="8360"/>
      </w:tabs>
      <w:jc w:val="both"/>
    </w:pPr>
    <w:rPr>
      <w:rFonts w:cs="Arial"/>
      <w:szCs w:val="22"/>
    </w:rPr>
  </w:style>
  <w:style w:type="paragraph" w:customStyle="1" w:styleId="NB-SourceText">
    <w:name w:val="NB -  Source Text"/>
    <w:basedOn w:val="Normal"/>
    <w:next w:val="Normal"/>
    <w:uiPriority w:val="99"/>
    <w:rsid w:val="00C54DE8"/>
    <w:pPr>
      <w:spacing w:before="120"/>
    </w:pPr>
    <w:rPr>
      <w:sz w:val="18"/>
      <w:szCs w:val="18"/>
    </w:rPr>
  </w:style>
  <w:style w:type="paragraph" w:customStyle="1" w:styleId="NB-InsertGraphic">
    <w:name w:val="NB-Insert Graphic"/>
    <w:basedOn w:val="Normal"/>
    <w:uiPriority w:val="99"/>
    <w:rsid w:val="00B46A9E"/>
    <w:pPr>
      <w:ind w:left="17"/>
    </w:pPr>
    <w:rPr>
      <w:color w:val="FF0000"/>
      <w:spacing w:val="-8"/>
      <w:sz w:val="56"/>
      <w:szCs w:val="56"/>
    </w:rPr>
  </w:style>
  <w:style w:type="paragraph" w:styleId="ndice2">
    <w:name w:val="toc 2"/>
    <w:aliases w:val="NB - Table Of Contents Level 2"/>
    <w:basedOn w:val="Normal"/>
    <w:next w:val="Normal"/>
    <w:autoRedefine/>
    <w:uiPriority w:val="99"/>
    <w:semiHidden/>
    <w:rsid w:val="001A17FA"/>
    <w:pPr>
      <w:tabs>
        <w:tab w:val="right" w:leader="middleDot" w:pos="9498"/>
      </w:tabs>
      <w:ind w:left="720"/>
    </w:pPr>
    <w:rPr>
      <w:sz w:val="22"/>
      <w:szCs w:val="22"/>
    </w:rPr>
  </w:style>
  <w:style w:type="paragraph" w:customStyle="1" w:styleId="NB-StyleHeading5IndentedlistBefore6ptAfter0pt">
    <w:name w:val="NB-Style Heading 5 Indented list + Before:  6 pt After:  0 pt"/>
    <w:basedOn w:val="Ttulo5"/>
    <w:uiPriority w:val="99"/>
    <w:rsid w:val="00B87084"/>
    <w:pPr>
      <w:spacing w:before="120" w:after="0"/>
    </w:pPr>
    <w:rPr>
      <w:rFonts w:cs="Times New Roman"/>
      <w:sz w:val="20"/>
    </w:rPr>
  </w:style>
  <w:style w:type="paragraph" w:customStyle="1" w:styleId="NB-Header">
    <w:name w:val="NB-Header"/>
    <w:basedOn w:val="Normal"/>
    <w:link w:val="NB-HeaderChar"/>
    <w:uiPriority w:val="99"/>
    <w:rsid w:val="003C73AD"/>
    <w:pPr>
      <w:tabs>
        <w:tab w:val="center" w:pos="4153"/>
        <w:tab w:val="right" w:pos="8306"/>
      </w:tabs>
    </w:pPr>
    <w:rPr>
      <w:sz w:val="18"/>
    </w:rPr>
  </w:style>
  <w:style w:type="paragraph" w:customStyle="1" w:styleId="NB-HeaderBlue">
    <w:name w:val="NB-Header Blue"/>
    <w:basedOn w:val="NB-Header"/>
    <w:link w:val="NB-HeaderBlueChar"/>
    <w:uiPriority w:val="99"/>
    <w:rsid w:val="00C54DE8"/>
    <w:pPr>
      <w:tabs>
        <w:tab w:val="left" w:pos="7088"/>
      </w:tabs>
    </w:pPr>
    <w:rPr>
      <w:rFonts w:ascii="Arial Bold" w:hAnsi="Arial Bold" w:cs="Times New Roman Bold"/>
      <w:b/>
      <w:color w:val="001950"/>
      <w:szCs w:val="18"/>
    </w:rPr>
  </w:style>
  <w:style w:type="paragraph" w:customStyle="1" w:styleId="NB-TableWhiteleft">
    <w:name w:val="NB - Table White left"/>
    <w:uiPriority w:val="99"/>
    <w:rsid w:val="00C54DE8"/>
    <w:pPr>
      <w:spacing w:before="36" w:after="36"/>
    </w:pPr>
    <w:rPr>
      <w:rFonts w:ascii="Arial Bold" w:hAnsi="Arial Bold" w:cs="Arial Bold"/>
      <w:b/>
      <w:color w:val="FFFFFF"/>
      <w:sz w:val="18"/>
      <w:szCs w:val="18"/>
      <w:lang w:val="en-GB" w:eastAsia="ja-JP"/>
    </w:rPr>
  </w:style>
  <w:style w:type="paragraph" w:customStyle="1" w:styleId="NB-HeaderOrange">
    <w:name w:val="NB-Header Orange"/>
    <w:basedOn w:val="NB-Header"/>
    <w:link w:val="NB-HeaderOrangeChar"/>
    <w:uiPriority w:val="99"/>
    <w:rsid w:val="00C54DE8"/>
    <w:pPr>
      <w:tabs>
        <w:tab w:val="clear" w:pos="8306"/>
        <w:tab w:val="right" w:pos="9781"/>
      </w:tabs>
    </w:pPr>
    <w:rPr>
      <w:rFonts w:ascii="Arial Bold" w:hAnsi="Arial Bold" w:cs="Arial Bold"/>
      <w:b/>
      <w:bCs/>
      <w:color w:val="F47920"/>
      <w:szCs w:val="18"/>
    </w:rPr>
  </w:style>
  <w:style w:type="character" w:customStyle="1" w:styleId="NB-HeaderChar">
    <w:name w:val="NB-Header Char"/>
    <w:link w:val="NB-Header"/>
    <w:uiPriority w:val="99"/>
    <w:locked/>
    <w:rsid w:val="003C73AD"/>
    <w:rPr>
      <w:rFonts w:ascii="Arial" w:hAnsi="Arial" w:cs="Times New Roman"/>
      <w:sz w:val="24"/>
      <w:szCs w:val="24"/>
      <w:lang w:val="en-GB" w:eastAsia="en-US" w:bidi="ar-SA"/>
    </w:rPr>
  </w:style>
  <w:style w:type="character" w:customStyle="1" w:styleId="NB-HeaderBlueChar">
    <w:name w:val="NB-Header Blue Char"/>
    <w:link w:val="NB-HeaderBlue"/>
    <w:uiPriority w:val="99"/>
    <w:locked/>
    <w:rsid w:val="00C54DE8"/>
    <w:rPr>
      <w:rFonts w:ascii="Arial Bold" w:hAnsi="Arial Bold" w:cs="Times New Roman Bold"/>
      <w:b/>
      <w:color w:val="001950"/>
      <w:sz w:val="18"/>
      <w:szCs w:val="18"/>
      <w:lang w:val="en-GB" w:eastAsia="en-US" w:bidi="ar-SA"/>
    </w:rPr>
  </w:style>
  <w:style w:type="character" w:customStyle="1" w:styleId="NB-HeaderOrangeChar">
    <w:name w:val="NB-Header Orange Char"/>
    <w:link w:val="NB-HeaderOrange"/>
    <w:uiPriority w:val="99"/>
    <w:locked/>
    <w:rsid w:val="00C54DE8"/>
    <w:rPr>
      <w:rFonts w:ascii="Arial Bold" w:hAnsi="Arial Bold" w:cs="Arial Bold"/>
      <w:b/>
      <w:bCs/>
      <w:color w:val="F47920"/>
      <w:sz w:val="18"/>
      <w:szCs w:val="18"/>
      <w:lang w:val="en-GB" w:eastAsia="en-US" w:bidi="ar-SA"/>
    </w:rPr>
  </w:style>
  <w:style w:type="paragraph" w:customStyle="1" w:styleId="NBHeaderOrange">
    <w:name w:val="NB Header Orange"/>
    <w:autoRedefine/>
    <w:uiPriority w:val="99"/>
    <w:rsid w:val="005A046F"/>
    <w:rPr>
      <w:rFonts w:ascii="Arial" w:hAnsi="Arial"/>
      <w:b/>
      <w:color w:val="F47920"/>
      <w:lang w:val="en-GB" w:eastAsia="en-US"/>
    </w:rPr>
  </w:style>
  <w:style w:type="paragraph" w:customStyle="1" w:styleId="NB-FundInformationheading">
    <w:name w:val="NB - Fund Information heading"/>
    <w:autoRedefine/>
    <w:uiPriority w:val="99"/>
    <w:rsid w:val="00A115B3"/>
    <w:pPr>
      <w:spacing w:line="220" w:lineRule="exact"/>
    </w:pPr>
    <w:rPr>
      <w:rFonts w:ascii="Arial Bold" w:hAnsi="Arial Bold"/>
      <w:b/>
      <w:color w:val="001950"/>
      <w:sz w:val="18"/>
      <w:lang w:val="en-GB" w:eastAsia="en-US"/>
    </w:rPr>
  </w:style>
  <w:style w:type="paragraph" w:customStyle="1" w:styleId="NB-Fundinformation">
    <w:name w:val="NB - Fund information"/>
    <w:autoRedefine/>
    <w:uiPriority w:val="99"/>
    <w:rsid w:val="00A115B3"/>
    <w:pPr>
      <w:spacing w:line="220" w:lineRule="exact"/>
    </w:pPr>
    <w:rPr>
      <w:rFonts w:ascii="Arial" w:hAnsi="Arial"/>
      <w:sz w:val="18"/>
      <w:lang w:val="en-GB" w:eastAsia="en-US"/>
    </w:rPr>
  </w:style>
  <w:style w:type="paragraph" w:customStyle="1" w:styleId="NB-Fundstatisticsheading">
    <w:name w:val="NB - Fund statistics heading"/>
    <w:autoRedefine/>
    <w:uiPriority w:val="99"/>
    <w:rsid w:val="00A85E21"/>
    <w:pPr>
      <w:spacing w:line="160" w:lineRule="exact"/>
    </w:pPr>
    <w:rPr>
      <w:rFonts w:ascii="Arial" w:hAnsi="Arial"/>
      <w:b/>
      <w:color w:val="FFFFFF"/>
      <w:sz w:val="14"/>
      <w:lang w:val="en-GB" w:eastAsia="en-US"/>
    </w:rPr>
  </w:style>
  <w:style w:type="paragraph" w:customStyle="1" w:styleId="NB-Fundstatistics">
    <w:name w:val="NB - Fund statistics"/>
    <w:autoRedefine/>
    <w:uiPriority w:val="99"/>
    <w:rsid w:val="00A85E21"/>
    <w:pPr>
      <w:spacing w:line="160" w:lineRule="exact"/>
    </w:pPr>
    <w:rPr>
      <w:rFonts w:ascii="Arial" w:hAnsi="Arial"/>
      <w:sz w:val="14"/>
      <w:lang w:val="en-GB" w:eastAsia="en-US"/>
    </w:rPr>
  </w:style>
  <w:style w:type="paragraph" w:customStyle="1" w:styleId="NBFundstatisicsbold">
    <w:name w:val="NB Fund statisics bold"/>
    <w:basedOn w:val="NB-Fundstatistics"/>
    <w:autoRedefine/>
    <w:uiPriority w:val="99"/>
    <w:rsid w:val="00A85E21"/>
    <w:rPr>
      <w:b/>
    </w:rPr>
  </w:style>
  <w:style w:type="paragraph" w:customStyle="1" w:styleId="NB-text9pt">
    <w:name w:val="NB - text 9pt"/>
    <w:autoRedefine/>
    <w:uiPriority w:val="99"/>
    <w:rsid w:val="00A115B3"/>
    <w:pPr>
      <w:spacing w:after="120" w:line="200" w:lineRule="exact"/>
    </w:pPr>
    <w:rPr>
      <w:rFonts w:ascii="Arial" w:hAnsi="Arial"/>
      <w:sz w:val="18"/>
      <w:lang w:val="en-GB" w:eastAsia="en-US"/>
    </w:rPr>
  </w:style>
  <w:style w:type="paragraph" w:customStyle="1" w:styleId="NBParagrahheading10ptbold">
    <w:name w:val="NB Paragrah heading 10pt bold"/>
    <w:autoRedefine/>
    <w:uiPriority w:val="99"/>
    <w:rsid w:val="00A115B3"/>
    <w:pPr>
      <w:spacing w:after="120" w:line="240" w:lineRule="exact"/>
    </w:pPr>
    <w:rPr>
      <w:rFonts w:ascii="Arial" w:hAnsi="Arial"/>
      <w:b/>
      <w:color w:val="6D7275"/>
      <w:sz w:val="18"/>
      <w:lang w:val="en-GB" w:eastAsia="en-US"/>
    </w:rPr>
  </w:style>
  <w:style w:type="paragraph" w:customStyle="1" w:styleId="NBParagraphheading10ptbold">
    <w:name w:val="NB Paragraph heading 10pt bold"/>
    <w:autoRedefine/>
    <w:uiPriority w:val="99"/>
    <w:rsid w:val="00A115B3"/>
    <w:pPr>
      <w:spacing w:line="240" w:lineRule="exact"/>
    </w:pPr>
    <w:rPr>
      <w:rFonts w:ascii="Arial" w:hAnsi="Arial"/>
      <w:b/>
      <w:color w:val="6D7275"/>
      <w:sz w:val="18"/>
      <w:lang w:val="en-GB" w:eastAsia="en-US"/>
    </w:rPr>
  </w:style>
  <w:style w:type="paragraph" w:customStyle="1" w:styleId="NB-10ptbold">
    <w:name w:val="NB - 10pt bold"/>
    <w:autoRedefine/>
    <w:uiPriority w:val="99"/>
    <w:rsid w:val="00A115B3"/>
    <w:pPr>
      <w:spacing w:line="220" w:lineRule="exact"/>
    </w:pPr>
    <w:rPr>
      <w:rFonts w:ascii="Arial" w:hAnsi="Arial" w:cs="Arial"/>
      <w:b/>
      <w:szCs w:val="22"/>
      <w:lang w:val="en-GB" w:eastAsia="en-US"/>
    </w:rPr>
  </w:style>
  <w:style w:type="paragraph" w:customStyle="1" w:styleId="NB-10pt">
    <w:name w:val="NB - 10pt"/>
    <w:autoRedefine/>
    <w:uiPriority w:val="99"/>
    <w:rsid w:val="00A115B3"/>
    <w:pPr>
      <w:spacing w:line="220" w:lineRule="exact"/>
    </w:pPr>
    <w:rPr>
      <w:rFonts w:ascii="Arial" w:hAnsi="Arial" w:cs="Arial"/>
      <w:szCs w:val="22"/>
      <w:lang w:val="en-GB" w:eastAsia="en-US"/>
    </w:rPr>
  </w:style>
  <w:style w:type="paragraph" w:customStyle="1" w:styleId="NBParagraphheading18ptbold">
    <w:name w:val="NB Paragraph heading 18pt bold"/>
    <w:autoRedefine/>
    <w:uiPriority w:val="99"/>
    <w:rsid w:val="00A115B3"/>
    <w:pPr>
      <w:spacing w:line="400" w:lineRule="exact"/>
    </w:pPr>
    <w:rPr>
      <w:rFonts w:ascii="Arial" w:hAnsi="Arial"/>
      <w:color w:val="6D7275"/>
      <w:sz w:val="36"/>
      <w:lang w:val="en-GB" w:eastAsia="en-US"/>
    </w:rPr>
  </w:style>
  <w:style w:type="paragraph" w:customStyle="1" w:styleId="NB-text8pt">
    <w:name w:val="NB - text 8pt"/>
    <w:autoRedefine/>
    <w:uiPriority w:val="99"/>
    <w:rsid w:val="00A115B3"/>
    <w:pPr>
      <w:spacing w:after="120" w:line="200" w:lineRule="exact"/>
    </w:pPr>
    <w:rPr>
      <w:rFonts w:ascii="Arial" w:hAnsi="Arial"/>
      <w:sz w:val="16"/>
      <w:lang w:val="en-GB" w:eastAsia="en-US"/>
    </w:rPr>
  </w:style>
  <w:style w:type="paragraph" w:customStyle="1" w:styleId="QTabletext">
    <w:name w:val="Q? Table text"/>
    <w:basedOn w:val="Normal"/>
    <w:rsid w:val="009A1278"/>
    <w:pPr>
      <w:shd w:val="clear" w:color="0000FF" w:fill="auto"/>
      <w:spacing w:before="60" w:line="200" w:lineRule="exact"/>
    </w:pPr>
    <w:rPr>
      <w:rFonts w:cs="Arial"/>
      <w:spacing w:val="-7"/>
      <w:sz w:val="18"/>
      <w:szCs w:val="18"/>
      <w:lang w:eastAsia="ja-JP"/>
    </w:rPr>
  </w:style>
  <w:style w:type="paragraph" w:customStyle="1" w:styleId="StyleQParagraphHeadingBlackDarkBlue">
    <w:name w:val="Style Q? Paragraph Heading Black + Dark Blue"/>
    <w:basedOn w:val="Normal"/>
    <w:next w:val="Normal"/>
    <w:rsid w:val="009A1278"/>
    <w:pPr>
      <w:spacing w:line="240" w:lineRule="exact"/>
    </w:pPr>
    <w:rPr>
      <w:rFonts w:ascii="Arial Bold" w:hAnsi="Arial Bold"/>
      <w:b/>
      <w:color w:val="001950"/>
      <w:sz w:val="22"/>
      <w:szCs w:val="22"/>
    </w:rPr>
  </w:style>
  <w:style w:type="paragraph" w:customStyle="1" w:styleId="StyleStyleQParagraphHeadingBlackDarkBlueArial115pt">
    <w:name w:val="Style Style Q? Paragraph Heading Black + Dark Blue + Arial 11.5 pt..."/>
    <w:basedOn w:val="StyleQParagraphHeadingBlackDarkBlue"/>
    <w:uiPriority w:val="99"/>
    <w:rsid w:val="009A1278"/>
    <w:rPr>
      <w:bCs/>
      <w:sz w:val="23"/>
    </w:rPr>
  </w:style>
  <w:style w:type="paragraph" w:customStyle="1" w:styleId="StyleStyleQParagraphHeadingBlackDarkBlueArial115pt1">
    <w:name w:val="Style Style Q? Paragraph Heading Black + Dark Blue + Arial 11.5 pt...1"/>
    <w:basedOn w:val="StyleQParagraphHeadingBlackDarkBlue"/>
    <w:uiPriority w:val="99"/>
    <w:rsid w:val="009A1278"/>
    <w:rPr>
      <w:rFonts w:ascii="Arial" w:hAnsi="Arial"/>
      <w:b w:val="0"/>
      <w:sz w:val="21"/>
    </w:rPr>
  </w:style>
  <w:style w:type="character" w:styleId="Refdenotaderodap">
    <w:name w:val="footnote reference"/>
    <w:rsid w:val="0045707C"/>
    <w:rPr>
      <w:rFonts w:cs="Times New Roman"/>
      <w:vertAlign w:val="superscript"/>
    </w:rPr>
  </w:style>
  <w:style w:type="character" w:customStyle="1" w:styleId="StyleArial105ptBoldItalicDarkBlue">
    <w:name w:val="Style Arial 10.5 pt Bold Italic Dark Blue"/>
    <w:uiPriority w:val="99"/>
    <w:rsid w:val="0078096C"/>
    <w:rPr>
      <w:rFonts w:ascii="Arial Bold" w:hAnsi="Arial Bold" w:cs="Times New Roman"/>
      <w:b/>
      <w:bCs/>
      <w:i/>
      <w:iCs/>
      <w:color w:val="001950"/>
      <w:sz w:val="21"/>
    </w:rPr>
  </w:style>
  <w:style w:type="character" w:customStyle="1" w:styleId="StyleBoldDarkBlue">
    <w:name w:val="Style Bold Dark Blue"/>
    <w:uiPriority w:val="99"/>
    <w:rsid w:val="00685C25"/>
    <w:rPr>
      <w:rFonts w:ascii="Arial" w:hAnsi="Arial" w:cs="Times New Roman"/>
      <w:b/>
      <w:bCs/>
      <w:color w:val="001950"/>
      <w:sz w:val="21"/>
    </w:rPr>
  </w:style>
  <w:style w:type="character" w:customStyle="1" w:styleId="Style105ptBoldDarkBlue">
    <w:name w:val="Style 10.5 pt Bold Dark Blue"/>
    <w:uiPriority w:val="99"/>
    <w:rsid w:val="0078096C"/>
    <w:rPr>
      <w:rFonts w:cs="Times New Roman"/>
      <w:b/>
      <w:bCs/>
      <w:color w:val="001950"/>
      <w:sz w:val="21"/>
    </w:rPr>
  </w:style>
  <w:style w:type="character" w:customStyle="1" w:styleId="Style28ptBoldDarkBlue">
    <w:name w:val="Style 28 pt Bold Dark Blue"/>
    <w:uiPriority w:val="99"/>
    <w:rsid w:val="0078096C"/>
    <w:rPr>
      <w:rFonts w:ascii="Arial" w:hAnsi="Arial" w:cs="Times New Roman"/>
      <w:b/>
      <w:bCs/>
      <w:color w:val="001950"/>
      <w:sz w:val="56"/>
    </w:rPr>
  </w:style>
  <w:style w:type="paragraph" w:styleId="Textodenotaderodap">
    <w:name w:val="footnote text"/>
    <w:basedOn w:val="Normal"/>
    <w:link w:val="TextodenotaderodapCarcter"/>
    <w:uiPriority w:val="99"/>
    <w:rsid w:val="0078096C"/>
    <w:rPr>
      <w:rFonts w:ascii="Times New Roman" w:hAnsi="Times New Roman"/>
      <w:color w:val="auto"/>
      <w:lang w:eastAsia="en-GB"/>
    </w:rPr>
  </w:style>
  <w:style w:type="character" w:customStyle="1" w:styleId="TextodenotaderodapCarcter">
    <w:name w:val="Texto de nota de rodapé Carácter"/>
    <w:link w:val="Textodenotaderodap"/>
    <w:uiPriority w:val="99"/>
    <w:locked/>
    <w:rsid w:val="004E2A84"/>
    <w:rPr>
      <w:rFonts w:ascii="Arial" w:hAnsi="Arial" w:cs="Times New Roman"/>
      <w:color w:val="000000"/>
      <w:lang w:eastAsia="en-US"/>
    </w:rPr>
  </w:style>
  <w:style w:type="paragraph" w:styleId="Corpodetexto">
    <w:name w:val="Body Text"/>
    <w:basedOn w:val="Normal"/>
    <w:link w:val="CorpodetextoCarcter"/>
    <w:rsid w:val="002961D3"/>
    <w:pPr>
      <w:spacing w:after="120"/>
      <w:jc w:val="both"/>
    </w:pPr>
    <w:rPr>
      <w:rFonts w:ascii="Times New Roman" w:hAnsi="Times New Roman"/>
      <w:color w:val="auto"/>
      <w:sz w:val="24"/>
      <w:szCs w:val="24"/>
      <w:lang w:eastAsia="en-GB"/>
    </w:rPr>
  </w:style>
  <w:style w:type="character" w:customStyle="1" w:styleId="CorpodetextoCarcter">
    <w:name w:val="Corpo de texto Carácter"/>
    <w:link w:val="Corpodetexto"/>
    <w:uiPriority w:val="99"/>
    <w:locked/>
    <w:rsid w:val="004E2A84"/>
    <w:rPr>
      <w:rFonts w:ascii="Arial" w:hAnsi="Arial" w:cs="Times New Roman"/>
      <w:color w:val="000000"/>
      <w:lang w:eastAsia="en-US"/>
    </w:rPr>
  </w:style>
  <w:style w:type="paragraph" w:customStyle="1" w:styleId="Style95ptBoldDarkBlueRight-074cm">
    <w:name w:val="Style 9.5 pt Bold Dark Blue Right:  -0.74 cm"/>
    <w:basedOn w:val="Normal"/>
    <w:uiPriority w:val="99"/>
    <w:rsid w:val="00757455"/>
    <w:pPr>
      <w:ind w:right="-422"/>
    </w:pPr>
    <w:rPr>
      <w:rFonts w:ascii="Arial Bold" w:hAnsi="Arial Bold"/>
      <w:b/>
      <w:bCs/>
      <w:color w:val="001950"/>
      <w:sz w:val="19"/>
    </w:rPr>
  </w:style>
  <w:style w:type="paragraph" w:customStyle="1" w:styleId="Comments">
    <w:name w:val="Comments"/>
    <w:basedOn w:val="Normal"/>
    <w:uiPriority w:val="99"/>
    <w:rsid w:val="00C76616"/>
    <w:rPr>
      <w:b/>
      <w:i/>
    </w:rPr>
  </w:style>
  <w:style w:type="paragraph" w:customStyle="1" w:styleId="Style1">
    <w:name w:val="Style1"/>
    <w:basedOn w:val="Normal"/>
    <w:next w:val="Normal"/>
    <w:uiPriority w:val="99"/>
    <w:rsid w:val="00632D47"/>
    <w:rPr>
      <w:rFonts w:ascii="Arial Bold" w:hAnsi="Arial Bold"/>
      <w:b/>
      <w:i/>
      <w:sz w:val="21"/>
    </w:rPr>
  </w:style>
  <w:style w:type="character" w:styleId="Hiperligao">
    <w:name w:val="Hyperlink"/>
    <w:uiPriority w:val="99"/>
    <w:rsid w:val="00883EC4"/>
    <w:rPr>
      <w:rFonts w:cs="Times New Roman"/>
      <w:color w:val="0000FF"/>
      <w:u w:val="single"/>
    </w:rPr>
  </w:style>
  <w:style w:type="paragraph" w:styleId="Textodebalo">
    <w:name w:val="Balloon Text"/>
    <w:basedOn w:val="Normal"/>
    <w:link w:val="TextodebaloCarcter"/>
    <w:uiPriority w:val="99"/>
    <w:semiHidden/>
    <w:unhideWhenUsed/>
    <w:rsid w:val="009629E1"/>
    <w:rPr>
      <w:rFonts w:ascii="Tahoma" w:hAnsi="Tahoma" w:cs="Tahoma"/>
      <w:sz w:val="16"/>
      <w:szCs w:val="16"/>
    </w:rPr>
  </w:style>
  <w:style w:type="character" w:customStyle="1" w:styleId="TextodebaloCarcter">
    <w:name w:val="Texto de balão Carácter"/>
    <w:link w:val="Textodebalo"/>
    <w:uiPriority w:val="99"/>
    <w:semiHidden/>
    <w:rsid w:val="009629E1"/>
    <w:rPr>
      <w:rFonts w:ascii="Tahoma" w:hAnsi="Tahoma" w:cs="Tahoma"/>
      <w:color w:val="000000"/>
      <w:sz w:val="16"/>
      <w:szCs w:val="16"/>
      <w:lang w:eastAsia="en-US"/>
    </w:rPr>
  </w:style>
  <w:style w:type="paragraph" w:styleId="PargrafodaLista">
    <w:name w:val="List Paragraph"/>
    <w:basedOn w:val="Normal"/>
    <w:uiPriority w:val="34"/>
    <w:qFormat/>
    <w:rsid w:val="005F5D61"/>
    <w:pPr>
      <w:ind w:left="720"/>
      <w:contextualSpacing/>
    </w:pPr>
    <w:rPr>
      <w:rFonts w:ascii="Times New Roman" w:hAnsi="Times New Roman"/>
      <w:color w:val="auto"/>
      <w:lang w:eastAsia="en-GB"/>
    </w:rPr>
  </w:style>
  <w:style w:type="character" w:styleId="nfase">
    <w:name w:val="Emphasis"/>
    <w:uiPriority w:val="20"/>
    <w:qFormat/>
    <w:locked/>
    <w:rsid w:val="00DE49A8"/>
    <w:rPr>
      <w:b/>
      <w:bCs/>
      <w:i w:val="0"/>
      <w:iCs w:val="0"/>
    </w:rPr>
  </w:style>
  <w:style w:type="paragraph" w:styleId="Textosimples">
    <w:name w:val="Plain Text"/>
    <w:basedOn w:val="Normal"/>
    <w:link w:val="TextosimplesCarcter"/>
    <w:uiPriority w:val="99"/>
    <w:unhideWhenUsed/>
    <w:rsid w:val="00F732B2"/>
    <w:rPr>
      <w:rFonts w:eastAsia="Calibri"/>
      <w:color w:val="auto"/>
      <w:szCs w:val="21"/>
    </w:rPr>
  </w:style>
  <w:style w:type="character" w:customStyle="1" w:styleId="TextosimplesCarcter">
    <w:name w:val="Texto simples Carácter"/>
    <w:link w:val="Textosimples"/>
    <w:uiPriority w:val="99"/>
    <w:rsid w:val="00F732B2"/>
    <w:rPr>
      <w:rFonts w:ascii="Arial" w:eastAsia="Calibri" w:hAnsi="Arial"/>
      <w:szCs w:val="21"/>
      <w:lang w:eastAsia="en-US"/>
    </w:rPr>
  </w:style>
  <w:style w:type="table" w:customStyle="1" w:styleId="LightShading">
    <w:name w:val="Light Shading"/>
    <w:basedOn w:val="Tabelanormal"/>
    <w:uiPriority w:val="60"/>
    <w:rsid w:val="006C776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 Accent 1"/>
    <w:basedOn w:val="Tabelanormal"/>
    <w:uiPriority w:val="60"/>
    <w:rsid w:val="006C776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1">
    <w:name w:val="Body 1"/>
    <w:rsid w:val="00AB4EA1"/>
    <w:rPr>
      <w:rFonts w:ascii="Helvetica" w:eastAsia="Arial Unicode MS" w:hAnsi="Helvetica"/>
      <w:color w:val="000000"/>
      <w:sz w:val="24"/>
      <w:lang w:val="en-GB" w:eastAsia="en-GB"/>
    </w:rPr>
  </w:style>
  <w:style w:type="character" w:styleId="Hiperligaovisitada">
    <w:name w:val="FollowedHyperlink"/>
    <w:uiPriority w:val="99"/>
    <w:semiHidden/>
    <w:unhideWhenUsed/>
    <w:rsid w:val="00004219"/>
    <w:rPr>
      <w:color w:val="800080"/>
      <w:u w:val="single"/>
    </w:rPr>
  </w:style>
  <w:style w:type="paragraph" w:styleId="Textodenotadefim">
    <w:name w:val="endnote text"/>
    <w:basedOn w:val="Normal"/>
    <w:link w:val="TextodenotadefimCarcter"/>
    <w:uiPriority w:val="99"/>
    <w:semiHidden/>
    <w:unhideWhenUsed/>
    <w:rsid w:val="00E577CE"/>
  </w:style>
  <w:style w:type="character" w:customStyle="1" w:styleId="TextodenotadefimCarcter">
    <w:name w:val="Texto de nota de fim Carácter"/>
    <w:link w:val="Textodenotadefim"/>
    <w:uiPriority w:val="99"/>
    <w:semiHidden/>
    <w:rsid w:val="00E577CE"/>
    <w:rPr>
      <w:rFonts w:ascii="Arial" w:hAnsi="Arial"/>
      <w:color w:val="000000"/>
      <w:lang w:eastAsia="en-US"/>
    </w:rPr>
  </w:style>
  <w:style w:type="character" w:styleId="Refdenotadefim">
    <w:name w:val="endnote reference"/>
    <w:uiPriority w:val="99"/>
    <w:semiHidden/>
    <w:unhideWhenUsed/>
    <w:rsid w:val="00E577CE"/>
    <w:rPr>
      <w:vertAlign w:val="superscript"/>
    </w:rPr>
  </w:style>
</w:styles>
</file>

<file path=word/webSettings.xml><?xml version="1.0" encoding="utf-8"?>
<w:webSettings xmlns:r="http://schemas.openxmlformats.org/officeDocument/2006/relationships" xmlns:w="http://schemas.openxmlformats.org/wordprocessingml/2006/main">
  <w:divs>
    <w:div w:id="88896196">
      <w:bodyDiv w:val="1"/>
      <w:marLeft w:val="0"/>
      <w:marRight w:val="0"/>
      <w:marTop w:val="0"/>
      <w:marBottom w:val="0"/>
      <w:divBdr>
        <w:top w:val="none" w:sz="0" w:space="0" w:color="auto"/>
        <w:left w:val="none" w:sz="0" w:space="0" w:color="auto"/>
        <w:bottom w:val="none" w:sz="0" w:space="0" w:color="auto"/>
        <w:right w:val="none" w:sz="0" w:space="0" w:color="auto"/>
      </w:divBdr>
    </w:div>
    <w:div w:id="129397273">
      <w:bodyDiv w:val="1"/>
      <w:marLeft w:val="0"/>
      <w:marRight w:val="0"/>
      <w:marTop w:val="0"/>
      <w:marBottom w:val="0"/>
      <w:divBdr>
        <w:top w:val="none" w:sz="0" w:space="0" w:color="auto"/>
        <w:left w:val="none" w:sz="0" w:space="0" w:color="auto"/>
        <w:bottom w:val="none" w:sz="0" w:space="0" w:color="auto"/>
        <w:right w:val="none" w:sz="0" w:space="0" w:color="auto"/>
      </w:divBdr>
    </w:div>
    <w:div w:id="199053498">
      <w:bodyDiv w:val="1"/>
      <w:marLeft w:val="0"/>
      <w:marRight w:val="0"/>
      <w:marTop w:val="0"/>
      <w:marBottom w:val="0"/>
      <w:divBdr>
        <w:top w:val="none" w:sz="0" w:space="0" w:color="auto"/>
        <w:left w:val="none" w:sz="0" w:space="0" w:color="auto"/>
        <w:bottom w:val="none" w:sz="0" w:space="0" w:color="auto"/>
        <w:right w:val="none" w:sz="0" w:space="0" w:color="auto"/>
      </w:divBdr>
    </w:div>
    <w:div w:id="390232026">
      <w:bodyDiv w:val="1"/>
      <w:marLeft w:val="0"/>
      <w:marRight w:val="0"/>
      <w:marTop w:val="0"/>
      <w:marBottom w:val="0"/>
      <w:divBdr>
        <w:top w:val="none" w:sz="0" w:space="0" w:color="auto"/>
        <w:left w:val="none" w:sz="0" w:space="0" w:color="auto"/>
        <w:bottom w:val="none" w:sz="0" w:space="0" w:color="auto"/>
        <w:right w:val="none" w:sz="0" w:space="0" w:color="auto"/>
      </w:divBdr>
    </w:div>
    <w:div w:id="393430097">
      <w:bodyDiv w:val="1"/>
      <w:marLeft w:val="0"/>
      <w:marRight w:val="0"/>
      <w:marTop w:val="0"/>
      <w:marBottom w:val="0"/>
      <w:divBdr>
        <w:top w:val="none" w:sz="0" w:space="0" w:color="auto"/>
        <w:left w:val="none" w:sz="0" w:space="0" w:color="auto"/>
        <w:bottom w:val="none" w:sz="0" w:space="0" w:color="auto"/>
        <w:right w:val="none" w:sz="0" w:space="0" w:color="auto"/>
      </w:divBdr>
    </w:div>
    <w:div w:id="454640805">
      <w:bodyDiv w:val="1"/>
      <w:marLeft w:val="0"/>
      <w:marRight w:val="0"/>
      <w:marTop w:val="0"/>
      <w:marBottom w:val="0"/>
      <w:divBdr>
        <w:top w:val="none" w:sz="0" w:space="0" w:color="auto"/>
        <w:left w:val="none" w:sz="0" w:space="0" w:color="auto"/>
        <w:bottom w:val="none" w:sz="0" w:space="0" w:color="auto"/>
        <w:right w:val="none" w:sz="0" w:space="0" w:color="auto"/>
      </w:divBdr>
    </w:div>
    <w:div w:id="480078865">
      <w:bodyDiv w:val="1"/>
      <w:marLeft w:val="0"/>
      <w:marRight w:val="0"/>
      <w:marTop w:val="0"/>
      <w:marBottom w:val="0"/>
      <w:divBdr>
        <w:top w:val="none" w:sz="0" w:space="0" w:color="auto"/>
        <w:left w:val="none" w:sz="0" w:space="0" w:color="auto"/>
        <w:bottom w:val="none" w:sz="0" w:space="0" w:color="auto"/>
        <w:right w:val="none" w:sz="0" w:space="0" w:color="auto"/>
      </w:divBdr>
    </w:div>
    <w:div w:id="582571138">
      <w:bodyDiv w:val="1"/>
      <w:marLeft w:val="0"/>
      <w:marRight w:val="0"/>
      <w:marTop w:val="0"/>
      <w:marBottom w:val="0"/>
      <w:divBdr>
        <w:top w:val="none" w:sz="0" w:space="0" w:color="auto"/>
        <w:left w:val="none" w:sz="0" w:space="0" w:color="auto"/>
        <w:bottom w:val="none" w:sz="0" w:space="0" w:color="auto"/>
        <w:right w:val="none" w:sz="0" w:space="0" w:color="auto"/>
      </w:divBdr>
    </w:div>
    <w:div w:id="731579436">
      <w:bodyDiv w:val="1"/>
      <w:marLeft w:val="0"/>
      <w:marRight w:val="0"/>
      <w:marTop w:val="0"/>
      <w:marBottom w:val="0"/>
      <w:divBdr>
        <w:top w:val="none" w:sz="0" w:space="0" w:color="auto"/>
        <w:left w:val="none" w:sz="0" w:space="0" w:color="auto"/>
        <w:bottom w:val="none" w:sz="0" w:space="0" w:color="auto"/>
        <w:right w:val="none" w:sz="0" w:space="0" w:color="auto"/>
      </w:divBdr>
    </w:div>
    <w:div w:id="757481573">
      <w:bodyDiv w:val="1"/>
      <w:marLeft w:val="0"/>
      <w:marRight w:val="0"/>
      <w:marTop w:val="0"/>
      <w:marBottom w:val="0"/>
      <w:divBdr>
        <w:top w:val="none" w:sz="0" w:space="0" w:color="auto"/>
        <w:left w:val="none" w:sz="0" w:space="0" w:color="auto"/>
        <w:bottom w:val="none" w:sz="0" w:space="0" w:color="auto"/>
        <w:right w:val="none" w:sz="0" w:space="0" w:color="auto"/>
      </w:divBdr>
    </w:div>
    <w:div w:id="937643806">
      <w:bodyDiv w:val="1"/>
      <w:marLeft w:val="0"/>
      <w:marRight w:val="0"/>
      <w:marTop w:val="0"/>
      <w:marBottom w:val="0"/>
      <w:divBdr>
        <w:top w:val="none" w:sz="0" w:space="0" w:color="auto"/>
        <w:left w:val="none" w:sz="0" w:space="0" w:color="auto"/>
        <w:bottom w:val="none" w:sz="0" w:space="0" w:color="auto"/>
        <w:right w:val="none" w:sz="0" w:space="0" w:color="auto"/>
      </w:divBdr>
    </w:div>
    <w:div w:id="965044522">
      <w:bodyDiv w:val="1"/>
      <w:marLeft w:val="0"/>
      <w:marRight w:val="0"/>
      <w:marTop w:val="45"/>
      <w:marBottom w:val="45"/>
      <w:divBdr>
        <w:top w:val="none" w:sz="0" w:space="0" w:color="auto"/>
        <w:left w:val="none" w:sz="0" w:space="0" w:color="auto"/>
        <w:bottom w:val="none" w:sz="0" w:space="0" w:color="auto"/>
        <w:right w:val="none" w:sz="0" w:space="0" w:color="auto"/>
      </w:divBdr>
      <w:divsChild>
        <w:div w:id="866062298">
          <w:marLeft w:val="0"/>
          <w:marRight w:val="0"/>
          <w:marTop w:val="0"/>
          <w:marBottom w:val="0"/>
          <w:divBdr>
            <w:top w:val="none" w:sz="0" w:space="0" w:color="auto"/>
            <w:left w:val="none" w:sz="0" w:space="0" w:color="auto"/>
            <w:bottom w:val="none" w:sz="0" w:space="0" w:color="auto"/>
            <w:right w:val="none" w:sz="0" w:space="0" w:color="auto"/>
          </w:divBdr>
          <w:divsChild>
            <w:div w:id="796339518">
              <w:marLeft w:val="0"/>
              <w:marRight w:val="0"/>
              <w:marTop w:val="0"/>
              <w:marBottom w:val="0"/>
              <w:divBdr>
                <w:top w:val="none" w:sz="0" w:space="0" w:color="auto"/>
                <w:left w:val="none" w:sz="0" w:space="0" w:color="auto"/>
                <w:bottom w:val="none" w:sz="0" w:space="0" w:color="auto"/>
                <w:right w:val="none" w:sz="0" w:space="0" w:color="auto"/>
              </w:divBdr>
              <w:divsChild>
                <w:div w:id="278070090">
                  <w:marLeft w:val="0"/>
                  <w:marRight w:val="0"/>
                  <w:marTop w:val="0"/>
                  <w:marBottom w:val="0"/>
                  <w:divBdr>
                    <w:top w:val="none" w:sz="0" w:space="0" w:color="auto"/>
                    <w:left w:val="none" w:sz="0" w:space="0" w:color="auto"/>
                    <w:bottom w:val="none" w:sz="0" w:space="0" w:color="auto"/>
                    <w:right w:val="none" w:sz="0" w:space="0" w:color="auto"/>
                  </w:divBdr>
                  <w:divsChild>
                    <w:div w:id="1939827176">
                      <w:marLeft w:val="0"/>
                      <w:marRight w:val="0"/>
                      <w:marTop w:val="0"/>
                      <w:marBottom w:val="0"/>
                      <w:divBdr>
                        <w:top w:val="none" w:sz="0" w:space="0" w:color="auto"/>
                        <w:left w:val="none" w:sz="0" w:space="0" w:color="auto"/>
                        <w:bottom w:val="none" w:sz="0" w:space="0" w:color="auto"/>
                        <w:right w:val="none" w:sz="0" w:space="0" w:color="auto"/>
                      </w:divBdr>
                      <w:divsChild>
                        <w:div w:id="1249269215">
                          <w:marLeft w:val="0"/>
                          <w:marRight w:val="0"/>
                          <w:marTop w:val="315"/>
                          <w:marBottom w:val="0"/>
                          <w:divBdr>
                            <w:top w:val="none" w:sz="0" w:space="0" w:color="auto"/>
                            <w:left w:val="none" w:sz="0" w:space="0" w:color="auto"/>
                            <w:bottom w:val="none" w:sz="0" w:space="0" w:color="auto"/>
                            <w:right w:val="none" w:sz="0" w:space="0" w:color="auto"/>
                          </w:divBdr>
                          <w:divsChild>
                            <w:div w:id="1747192558">
                              <w:marLeft w:val="1980"/>
                              <w:marRight w:val="3810"/>
                              <w:marTop w:val="0"/>
                              <w:marBottom w:val="0"/>
                              <w:divBdr>
                                <w:top w:val="none" w:sz="0" w:space="0" w:color="auto"/>
                                <w:left w:val="none" w:sz="0" w:space="0" w:color="auto"/>
                                <w:bottom w:val="none" w:sz="0" w:space="0" w:color="auto"/>
                                <w:right w:val="none" w:sz="0" w:space="0" w:color="auto"/>
                              </w:divBdr>
                              <w:divsChild>
                                <w:div w:id="2067530098">
                                  <w:marLeft w:val="0"/>
                                  <w:marRight w:val="0"/>
                                  <w:marTop w:val="0"/>
                                  <w:marBottom w:val="0"/>
                                  <w:divBdr>
                                    <w:top w:val="none" w:sz="0" w:space="0" w:color="auto"/>
                                    <w:left w:val="none" w:sz="0" w:space="0" w:color="auto"/>
                                    <w:bottom w:val="none" w:sz="0" w:space="0" w:color="auto"/>
                                    <w:right w:val="none" w:sz="0" w:space="0" w:color="auto"/>
                                  </w:divBdr>
                                  <w:divsChild>
                                    <w:div w:id="1585995132">
                                      <w:marLeft w:val="0"/>
                                      <w:marRight w:val="0"/>
                                      <w:marTop w:val="0"/>
                                      <w:marBottom w:val="0"/>
                                      <w:divBdr>
                                        <w:top w:val="none" w:sz="0" w:space="0" w:color="auto"/>
                                        <w:left w:val="none" w:sz="0" w:space="0" w:color="auto"/>
                                        <w:bottom w:val="none" w:sz="0" w:space="0" w:color="auto"/>
                                        <w:right w:val="none" w:sz="0" w:space="0" w:color="auto"/>
                                      </w:divBdr>
                                      <w:divsChild>
                                        <w:div w:id="1303345066">
                                          <w:marLeft w:val="0"/>
                                          <w:marRight w:val="0"/>
                                          <w:marTop w:val="0"/>
                                          <w:marBottom w:val="0"/>
                                          <w:divBdr>
                                            <w:top w:val="none" w:sz="0" w:space="0" w:color="auto"/>
                                            <w:left w:val="none" w:sz="0" w:space="0" w:color="auto"/>
                                            <w:bottom w:val="none" w:sz="0" w:space="0" w:color="auto"/>
                                            <w:right w:val="none" w:sz="0" w:space="0" w:color="auto"/>
                                          </w:divBdr>
                                          <w:divsChild>
                                            <w:div w:id="11939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447269">
      <w:bodyDiv w:val="1"/>
      <w:marLeft w:val="0"/>
      <w:marRight w:val="0"/>
      <w:marTop w:val="0"/>
      <w:marBottom w:val="0"/>
      <w:divBdr>
        <w:top w:val="none" w:sz="0" w:space="0" w:color="auto"/>
        <w:left w:val="none" w:sz="0" w:space="0" w:color="auto"/>
        <w:bottom w:val="none" w:sz="0" w:space="0" w:color="auto"/>
        <w:right w:val="none" w:sz="0" w:space="0" w:color="auto"/>
      </w:divBdr>
    </w:div>
    <w:div w:id="1032147937">
      <w:marLeft w:val="0"/>
      <w:marRight w:val="0"/>
      <w:marTop w:val="0"/>
      <w:marBottom w:val="0"/>
      <w:divBdr>
        <w:top w:val="none" w:sz="0" w:space="0" w:color="auto"/>
        <w:left w:val="none" w:sz="0" w:space="0" w:color="auto"/>
        <w:bottom w:val="none" w:sz="0" w:space="0" w:color="auto"/>
        <w:right w:val="none" w:sz="0" w:space="0" w:color="auto"/>
      </w:divBdr>
    </w:div>
    <w:div w:id="1032147939">
      <w:marLeft w:val="0"/>
      <w:marRight w:val="0"/>
      <w:marTop w:val="0"/>
      <w:marBottom w:val="0"/>
      <w:divBdr>
        <w:top w:val="none" w:sz="0" w:space="0" w:color="auto"/>
        <w:left w:val="none" w:sz="0" w:space="0" w:color="auto"/>
        <w:bottom w:val="none" w:sz="0" w:space="0" w:color="auto"/>
        <w:right w:val="none" w:sz="0" w:space="0" w:color="auto"/>
      </w:divBdr>
    </w:div>
    <w:div w:id="1032147944">
      <w:marLeft w:val="0"/>
      <w:marRight w:val="0"/>
      <w:marTop w:val="0"/>
      <w:marBottom w:val="0"/>
      <w:divBdr>
        <w:top w:val="none" w:sz="0" w:space="0" w:color="auto"/>
        <w:left w:val="none" w:sz="0" w:space="0" w:color="auto"/>
        <w:bottom w:val="none" w:sz="0" w:space="0" w:color="auto"/>
        <w:right w:val="none" w:sz="0" w:space="0" w:color="auto"/>
      </w:divBdr>
    </w:div>
    <w:div w:id="1032147949">
      <w:marLeft w:val="0"/>
      <w:marRight w:val="0"/>
      <w:marTop w:val="0"/>
      <w:marBottom w:val="0"/>
      <w:divBdr>
        <w:top w:val="none" w:sz="0" w:space="0" w:color="auto"/>
        <w:left w:val="none" w:sz="0" w:space="0" w:color="auto"/>
        <w:bottom w:val="none" w:sz="0" w:space="0" w:color="auto"/>
        <w:right w:val="none" w:sz="0" w:space="0" w:color="auto"/>
      </w:divBdr>
    </w:div>
    <w:div w:id="1032147951">
      <w:marLeft w:val="0"/>
      <w:marRight w:val="0"/>
      <w:marTop w:val="0"/>
      <w:marBottom w:val="0"/>
      <w:divBdr>
        <w:top w:val="none" w:sz="0" w:space="0" w:color="auto"/>
        <w:left w:val="none" w:sz="0" w:space="0" w:color="auto"/>
        <w:bottom w:val="none" w:sz="0" w:space="0" w:color="auto"/>
        <w:right w:val="none" w:sz="0" w:space="0" w:color="auto"/>
      </w:divBdr>
    </w:div>
    <w:div w:id="1032147954">
      <w:marLeft w:val="0"/>
      <w:marRight w:val="0"/>
      <w:marTop w:val="41"/>
      <w:marBottom w:val="41"/>
      <w:divBdr>
        <w:top w:val="none" w:sz="0" w:space="0" w:color="auto"/>
        <w:left w:val="none" w:sz="0" w:space="0" w:color="auto"/>
        <w:bottom w:val="none" w:sz="0" w:space="0" w:color="auto"/>
        <w:right w:val="none" w:sz="0" w:space="0" w:color="auto"/>
      </w:divBdr>
      <w:divsChild>
        <w:div w:id="1032147953">
          <w:marLeft w:val="0"/>
          <w:marRight w:val="0"/>
          <w:marTop w:val="0"/>
          <w:marBottom w:val="0"/>
          <w:divBdr>
            <w:top w:val="none" w:sz="0" w:space="0" w:color="auto"/>
            <w:left w:val="none" w:sz="0" w:space="0" w:color="auto"/>
            <w:bottom w:val="none" w:sz="0" w:space="0" w:color="auto"/>
            <w:right w:val="none" w:sz="0" w:space="0" w:color="auto"/>
          </w:divBdr>
          <w:divsChild>
            <w:div w:id="1032147947">
              <w:marLeft w:val="0"/>
              <w:marRight w:val="0"/>
              <w:marTop w:val="0"/>
              <w:marBottom w:val="0"/>
              <w:divBdr>
                <w:top w:val="none" w:sz="0" w:space="0" w:color="auto"/>
                <w:left w:val="none" w:sz="0" w:space="0" w:color="auto"/>
                <w:bottom w:val="none" w:sz="0" w:space="0" w:color="auto"/>
                <w:right w:val="none" w:sz="0" w:space="0" w:color="auto"/>
              </w:divBdr>
              <w:divsChild>
                <w:div w:id="1032147942">
                  <w:marLeft w:val="0"/>
                  <w:marRight w:val="0"/>
                  <w:marTop w:val="0"/>
                  <w:marBottom w:val="0"/>
                  <w:divBdr>
                    <w:top w:val="none" w:sz="0" w:space="0" w:color="auto"/>
                    <w:left w:val="none" w:sz="0" w:space="0" w:color="auto"/>
                    <w:bottom w:val="none" w:sz="0" w:space="0" w:color="auto"/>
                    <w:right w:val="none" w:sz="0" w:space="0" w:color="auto"/>
                  </w:divBdr>
                  <w:divsChild>
                    <w:div w:id="1032147955">
                      <w:marLeft w:val="2160"/>
                      <w:marRight w:val="3586"/>
                      <w:marTop w:val="0"/>
                      <w:marBottom w:val="0"/>
                      <w:divBdr>
                        <w:top w:val="none" w:sz="0" w:space="0" w:color="auto"/>
                        <w:left w:val="single" w:sz="6" w:space="0" w:color="D3E1F9"/>
                        <w:bottom w:val="none" w:sz="0" w:space="0" w:color="auto"/>
                        <w:right w:val="none" w:sz="0" w:space="0" w:color="auto"/>
                      </w:divBdr>
                      <w:divsChild>
                        <w:div w:id="1032147945">
                          <w:marLeft w:val="0"/>
                          <w:marRight w:val="0"/>
                          <w:marTop w:val="0"/>
                          <w:marBottom w:val="0"/>
                          <w:divBdr>
                            <w:top w:val="none" w:sz="0" w:space="0" w:color="auto"/>
                            <w:left w:val="none" w:sz="0" w:space="0" w:color="auto"/>
                            <w:bottom w:val="none" w:sz="0" w:space="0" w:color="auto"/>
                            <w:right w:val="none" w:sz="0" w:space="0" w:color="auto"/>
                          </w:divBdr>
                          <w:divsChild>
                            <w:div w:id="1032147941">
                              <w:marLeft w:val="0"/>
                              <w:marRight w:val="0"/>
                              <w:marTop w:val="0"/>
                              <w:marBottom w:val="0"/>
                              <w:divBdr>
                                <w:top w:val="none" w:sz="0" w:space="0" w:color="auto"/>
                                <w:left w:val="none" w:sz="0" w:space="0" w:color="auto"/>
                                <w:bottom w:val="none" w:sz="0" w:space="0" w:color="auto"/>
                                <w:right w:val="none" w:sz="0" w:space="0" w:color="auto"/>
                              </w:divBdr>
                              <w:divsChild>
                                <w:div w:id="10321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147957">
      <w:marLeft w:val="0"/>
      <w:marRight w:val="0"/>
      <w:marTop w:val="45"/>
      <w:marBottom w:val="45"/>
      <w:divBdr>
        <w:top w:val="none" w:sz="0" w:space="0" w:color="auto"/>
        <w:left w:val="none" w:sz="0" w:space="0" w:color="auto"/>
        <w:bottom w:val="none" w:sz="0" w:space="0" w:color="auto"/>
        <w:right w:val="none" w:sz="0" w:space="0" w:color="auto"/>
      </w:divBdr>
      <w:divsChild>
        <w:div w:id="1032147946">
          <w:marLeft w:val="0"/>
          <w:marRight w:val="0"/>
          <w:marTop w:val="0"/>
          <w:marBottom w:val="0"/>
          <w:divBdr>
            <w:top w:val="none" w:sz="0" w:space="0" w:color="auto"/>
            <w:left w:val="none" w:sz="0" w:space="0" w:color="auto"/>
            <w:bottom w:val="none" w:sz="0" w:space="0" w:color="auto"/>
            <w:right w:val="none" w:sz="0" w:space="0" w:color="auto"/>
          </w:divBdr>
          <w:divsChild>
            <w:div w:id="1032147943">
              <w:marLeft w:val="0"/>
              <w:marRight w:val="0"/>
              <w:marTop w:val="0"/>
              <w:marBottom w:val="0"/>
              <w:divBdr>
                <w:top w:val="none" w:sz="0" w:space="0" w:color="auto"/>
                <w:left w:val="none" w:sz="0" w:space="0" w:color="auto"/>
                <w:bottom w:val="none" w:sz="0" w:space="0" w:color="auto"/>
                <w:right w:val="none" w:sz="0" w:space="0" w:color="auto"/>
              </w:divBdr>
              <w:divsChild>
                <w:div w:id="1032147938">
                  <w:marLeft w:val="0"/>
                  <w:marRight w:val="0"/>
                  <w:marTop w:val="0"/>
                  <w:marBottom w:val="0"/>
                  <w:divBdr>
                    <w:top w:val="none" w:sz="0" w:space="0" w:color="auto"/>
                    <w:left w:val="none" w:sz="0" w:space="0" w:color="auto"/>
                    <w:bottom w:val="none" w:sz="0" w:space="0" w:color="auto"/>
                    <w:right w:val="none" w:sz="0" w:space="0" w:color="auto"/>
                  </w:divBdr>
                  <w:divsChild>
                    <w:div w:id="1032147948">
                      <w:marLeft w:val="2385"/>
                      <w:marRight w:val="3960"/>
                      <w:marTop w:val="0"/>
                      <w:marBottom w:val="0"/>
                      <w:divBdr>
                        <w:top w:val="none" w:sz="0" w:space="0" w:color="auto"/>
                        <w:left w:val="single" w:sz="6" w:space="0" w:color="D3E1F9"/>
                        <w:bottom w:val="none" w:sz="0" w:space="0" w:color="auto"/>
                        <w:right w:val="none" w:sz="0" w:space="0" w:color="auto"/>
                      </w:divBdr>
                      <w:divsChild>
                        <w:div w:id="1032147950">
                          <w:marLeft w:val="0"/>
                          <w:marRight w:val="0"/>
                          <w:marTop w:val="0"/>
                          <w:marBottom w:val="0"/>
                          <w:divBdr>
                            <w:top w:val="none" w:sz="0" w:space="0" w:color="auto"/>
                            <w:left w:val="none" w:sz="0" w:space="0" w:color="auto"/>
                            <w:bottom w:val="none" w:sz="0" w:space="0" w:color="auto"/>
                            <w:right w:val="none" w:sz="0" w:space="0" w:color="auto"/>
                          </w:divBdr>
                          <w:divsChild>
                            <w:div w:id="1032147952">
                              <w:marLeft w:val="0"/>
                              <w:marRight w:val="0"/>
                              <w:marTop w:val="0"/>
                              <w:marBottom w:val="0"/>
                              <w:divBdr>
                                <w:top w:val="none" w:sz="0" w:space="0" w:color="auto"/>
                                <w:left w:val="none" w:sz="0" w:space="0" w:color="auto"/>
                                <w:bottom w:val="none" w:sz="0" w:space="0" w:color="auto"/>
                                <w:right w:val="none" w:sz="0" w:space="0" w:color="auto"/>
                              </w:divBdr>
                              <w:divsChild>
                                <w:div w:id="1032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147958">
      <w:marLeft w:val="0"/>
      <w:marRight w:val="0"/>
      <w:marTop w:val="0"/>
      <w:marBottom w:val="0"/>
      <w:divBdr>
        <w:top w:val="none" w:sz="0" w:space="0" w:color="auto"/>
        <w:left w:val="none" w:sz="0" w:space="0" w:color="auto"/>
        <w:bottom w:val="none" w:sz="0" w:space="0" w:color="auto"/>
        <w:right w:val="none" w:sz="0" w:space="0" w:color="auto"/>
      </w:divBdr>
    </w:div>
    <w:div w:id="1032147959">
      <w:marLeft w:val="0"/>
      <w:marRight w:val="0"/>
      <w:marTop w:val="0"/>
      <w:marBottom w:val="0"/>
      <w:divBdr>
        <w:top w:val="none" w:sz="0" w:space="0" w:color="auto"/>
        <w:left w:val="none" w:sz="0" w:space="0" w:color="auto"/>
        <w:bottom w:val="none" w:sz="0" w:space="0" w:color="auto"/>
        <w:right w:val="none" w:sz="0" w:space="0" w:color="auto"/>
      </w:divBdr>
    </w:div>
    <w:div w:id="1032147960">
      <w:marLeft w:val="0"/>
      <w:marRight w:val="0"/>
      <w:marTop w:val="0"/>
      <w:marBottom w:val="0"/>
      <w:divBdr>
        <w:top w:val="none" w:sz="0" w:space="0" w:color="auto"/>
        <w:left w:val="none" w:sz="0" w:space="0" w:color="auto"/>
        <w:bottom w:val="none" w:sz="0" w:space="0" w:color="auto"/>
        <w:right w:val="none" w:sz="0" w:space="0" w:color="auto"/>
      </w:divBdr>
    </w:div>
    <w:div w:id="1032147961">
      <w:marLeft w:val="0"/>
      <w:marRight w:val="0"/>
      <w:marTop w:val="0"/>
      <w:marBottom w:val="0"/>
      <w:divBdr>
        <w:top w:val="none" w:sz="0" w:space="0" w:color="auto"/>
        <w:left w:val="none" w:sz="0" w:space="0" w:color="auto"/>
        <w:bottom w:val="none" w:sz="0" w:space="0" w:color="auto"/>
        <w:right w:val="none" w:sz="0" w:space="0" w:color="auto"/>
      </w:divBdr>
    </w:div>
    <w:div w:id="1032147962">
      <w:marLeft w:val="0"/>
      <w:marRight w:val="0"/>
      <w:marTop w:val="0"/>
      <w:marBottom w:val="0"/>
      <w:divBdr>
        <w:top w:val="none" w:sz="0" w:space="0" w:color="auto"/>
        <w:left w:val="none" w:sz="0" w:space="0" w:color="auto"/>
        <w:bottom w:val="none" w:sz="0" w:space="0" w:color="auto"/>
        <w:right w:val="none" w:sz="0" w:space="0" w:color="auto"/>
      </w:divBdr>
    </w:div>
    <w:div w:id="1032147963">
      <w:marLeft w:val="0"/>
      <w:marRight w:val="0"/>
      <w:marTop w:val="0"/>
      <w:marBottom w:val="0"/>
      <w:divBdr>
        <w:top w:val="none" w:sz="0" w:space="0" w:color="auto"/>
        <w:left w:val="none" w:sz="0" w:space="0" w:color="auto"/>
        <w:bottom w:val="none" w:sz="0" w:space="0" w:color="auto"/>
        <w:right w:val="none" w:sz="0" w:space="0" w:color="auto"/>
      </w:divBdr>
    </w:div>
    <w:div w:id="1032147964">
      <w:marLeft w:val="0"/>
      <w:marRight w:val="0"/>
      <w:marTop w:val="0"/>
      <w:marBottom w:val="0"/>
      <w:divBdr>
        <w:top w:val="none" w:sz="0" w:space="0" w:color="auto"/>
        <w:left w:val="none" w:sz="0" w:space="0" w:color="auto"/>
        <w:bottom w:val="none" w:sz="0" w:space="0" w:color="auto"/>
        <w:right w:val="none" w:sz="0" w:space="0" w:color="auto"/>
      </w:divBdr>
    </w:div>
    <w:div w:id="1032147965">
      <w:marLeft w:val="0"/>
      <w:marRight w:val="0"/>
      <w:marTop w:val="0"/>
      <w:marBottom w:val="0"/>
      <w:divBdr>
        <w:top w:val="none" w:sz="0" w:space="0" w:color="auto"/>
        <w:left w:val="none" w:sz="0" w:space="0" w:color="auto"/>
        <w:bottom w:val="none" w:sz="0" w:space="0" w:color="auto"/>
        <w:right w:val="none" w:sz="0" w:space="0" w:color="auto"/>
      </w:divBdr>
    </w:div>
    <w:div w:id="1032147966">
      <w:marLeft w:val="0"/>
      <w:marRight w:val="0"/>
      <w:marTop w:val="0"/>
      <w:marBottom w:val="0"/>
      <w:divBdr>
        <w:top w:val="none" w:sz="0" w:space="0" w:color="auto"/>
        <w:left w:val="none" w:sz="0" w:space="0" w:color="auto"/>
        <w:bottom w:val="none" w:sz="0" w:space="0" w:color="auto"/>
        <w:right w:val="none" w:sz="0" w:space="0" w:color="auto"/>
      </w:divBdr>
    </w:div>
    <w:div w:id="1032147967">
      <w:marLeft w:val="0"/>
      <w:marRight w:val="0"/>
      <w:marTop w:val="0"/>
      <w:marBottom w:val="0"/>
      <w:divBdr>
        <w:top w:val="none" w:sz="0" w:space="0" w:color="auto"/>
        <w:left w:val="none" w:sz="0" w:space="0" w:color="auto"/>
        <w:bottom w:val="none" w:sz="0" w:space="0" w:color="auto"/>
        <w:right w:val="none" w:sz="0" w:space="0" w:color="auto"/>
      </w:divBdr>
    </w:div>
    <w:div w:id="1032147970">
      <w:marLeft w:val="0"/>
      <w:marRight w:val="0"/>
      <w:marTop w:val="0"/>
      <w:marBottom w:val="0"/>
      <w:divBdr>
        <w:top w:val="none" w:sz="0" w:space="0" w:color="auto"/>
        <w:left w:val="none" w:sz="0" w:space="0" w:color="auto"/>
        <w:bottom w:val="none" w:sz="0" w:space="0" w:color="auto"/>
        <w:right w:val="none" w:sz="0" w:space="0" w:color="auto"/>
      </w:divBdr>
      <w:divsChild>
        <w:div w:id="1032147968">
          <w:marLeft w:val="0"/>
          <w:marRight w:val="0"/>
          <w:marTop w:val="0"/>
          <w:marBottom w:val="0"/>
          <w:divBdr>
            <w:top w:val="none" w:sz="0" w:space="0" w:color="auto"/>
            <w:left w:val="none" w:sz="0" w:space="0" w:color="auto"/>
            <w:bottom w:val="none" w:sz="0" w:space="0" w:color="auto"/>
            <w:right w:val="none" w:sz="0" w:space="0" w:color="auto"/>
          </w:divBdr>
          <w:divsChild>
            <w:div w:id="10321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9005">
      <w:bodyDiv w:val="1"/>
      <w:marLeft w:val="0"/>
      <w:marRight w:val="0"/>
      <w:marTop w:val="0"/>
      <w:marBottom w:val="0"/>
      <w:divBdr>
        <w:top w:val="none" w:sz="0" w:space="0" w:color="auto"/>
        <w:left w:val="none" w:sz="0" w:space="0" w:color="auto"/>
        <w:bottom w:val="none" w:sz="0" w:space="0" w:color="auto"/>
        <w:right w:val="none" w:sz="0" w:space="0" w:color="auto"/>
      </w:divBdr>
    </w:div>
    <w:div w:id="1277179781">
      <w:bodyDiv w:val="1"/>
      <w:marLeft w:val="0"/>
      <w:marRight w:val="0"/>
      <w:marTop w:val="0"/>
      <w:marBottom w:val="0"/>
      <w:divBdr>
        <w:top w:val="none" w:sz="0" w:space="0" w:color="auto"/>
        <w:left w:val="none" w:sz="0" w:space="0" w:color="auto"/>
        <w:bottom w:val="none" w:sz="0" w:space="0" w:color="auto"/>
        <w:right w:val="none" w:sz="0" w:space="0" w:color="auto"/>
      </w:divBdr>
    </w:div>
    <w:div w:id="1279066386">
      <w:bodyDiv w:val="1"/>
      <w:marLeft w:val="0"/>
      <w:marRight w:val="0"/>
      <w:marTop w:val="0"/>
      <w:marBottom w:val="0"/>
      <w:divBdr>
        <w:top w:val="none" w:sz="0" w:space="0" w:color="auto"/>
        <w:left w:val="none" w:sz="0" w:space="0" w:color="auto"/>
        <w:bottom w:val="none" w:sz="0" w:space="0" w:color="auto"/>
        <w:right w:val="none" w:sz="0" w:space="0" w:color="auto"/>
      </w:divBdr>
    </w:div>
    <w:div w:id="1329216606">
      <w:bodyDiv w:val="1"/>
      <w:marLeft w:val="0"/>
      <w:marRight w:val="0"/>
      <w:marTop w:val="0"/>
      <w:marBottom w:val="0"/>
      <w:divBdr>
        <w:top w:val="none" w:sz="0" w:space="0" w:color="auto"/>
        <w:left w:val="none" w:sz="0" w:space="0" w:color="auto"/>
        <w:bottom w:val="none" w:sz="0" w:space="0" w:color="auto"/>
        <w:right w:val="none" w:sz="0" w:space="0" w:color="auto"/>
      </w:divBdr>
    </w:div>
    <w:div w:id="1509097694">
      <w:bodyDiv w:val="1"/>
      <w:marLeft w:val="0"/>
      <w:marRight w:val="0"/>
      <w:marTop w:val="0"/>
      <w:marBottom w:val="0"/>
      <w:divBdr>
        <w:top w:val="none" w:sz="0" w:space="0" w:color="auto"/>
        <w:left w:val="none" w:sz="0" w:space="0" w:color="auto"/>
        <w:bottom w:val="none" w:sz="0" w:space="0" w:color="auto"/>
        <w:right w:val="none" w:sz="0" w:space="0" w:color="auto"/>
      </w:divBdr>
    </w:div>
    <w:div w:id="1563908595">
      <w:bodyDiv w:val="1"/>
      <w:marLeft w:val="0"/>
      <w:marRight w:val="0"/>
      <w:marTop w:val="0"/>
      <w:marBottom w:val="0"/>
      <w:divBdr>
        <w:top w:val="none" w:sz="0" w:space="0" w:color="auto"/>
        <w:left w:val="none" w:sz="0" w:space="0" w:color="auto"/>
        <w:bottom w:val="none" w:sz="0" w:space="0" w:color="auto"/>
        <w:right w:val="none" w:sz="0" w:space="0" w:color="auto"/>
      </w:divBdr>
    </w:div>
    <w:div w:id="2048986224">
      <w:bodyDiv w:val="1"/>
      <w:marLeft w:val="0"/>
      <w:marRight w:val="0"/>
      <w:marTop w:val="0"/>
      <w:marBottom w:val="0"/>
      <w:divBdr>
        <w:top w:val="none" w:sz="0" w:space="0" w:color="auto"/>
        <w:left w:val="none" w:sz="0" w:space="0" w:color="auto"/>
        <w:bottom w:val="none" w:sz="0" w:space="0" w:color="auto"/>
        <w:right w:val="none" w:sz="0" w:space="0" w:color="auto"/>
      </w:divBdr>
    </w:div>
    <w:div w:id="20622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ngan\Desktop\Economic%20%20Strategy%20Viewpoint%20Nov%20201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5024-ABE9-49C4-A4DD-67400EF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Economic  Strategy Viewpoint Nov 2011.dot</Template>
  <TotalTime>10</TotalTime>
  <Pages>15</Pages>
  <Words>4999</Words>
  <Characters>26997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Defend</vt:lpstr>
    </vt:vector>
  </TitlesOfParts>
  <Company>Schroders</Company>
  <LinksUpToDate>false</LinksUpToDate>
  <CharactersWithSpaces>31933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dc:title>
  <dc:creator>Zangana, Azad</dc:creator>
  <cp:lastModifiedBy>sofia.lareiro</cp:lastModifiedBy>
  <cp:revision>2</cp:revision>
  <cp:lastPrinted>2013-04-30T11:18:00Z</cp:lastPrinted>
  <dcterms:created xsi:type="dcterms:W3CDTF">2013-04-30T15:27:00Z</dcterms:created>
  <dcterms:modified xsi:type="dcterms:W3CDTF">2013-04-30T15:27:00Z</dcterms:modified>
</cp:coreProperties>
</file>